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bookmarkStart w:id="0" w:name="_GoBack"/>
      <w:bookmarkEnd w:id="0"/>
    </w:p>
    <w:p/>
    <w:p>
      <w:pPr>
        <w:widowControl/>
        <w:numPr>
          <w:ilvl w:val="0"/>
          <w:numId w:val="0"/>
        </w:numPr>
        <w:shd w:val="clear" w:color="auto" w:fill="FFFFFF"/>
        <w:spacing w:line="300" w:lineRule="auto"/>
        <w:ind w:leftChars="400" w:right="399" w:rightChars="190"/>
        <w:jc w:val="center"/>
        <w:rPr>
          <w:rFonts w:hint="eastAsia" w:asciiTheme="minorEastAsia" w:hAnsiTheme="minorEastAsia" w:eastAsiaTheme="minorEastAsia" w:cstheme="minorEastAsia"/>
          <w:b/>
          <w:bCs/>
          <w:kern w:val="0"/>
          <w:sz w:val="32"/>
          <w:szCs w:val="32"/>
          <w:lang w:val="en-US" w:eastAsia="zh-CN"/>
        </w:rPr>
      </w:pPr>
      <w:r>
        <w:rPr>
          <w:rFonts w:hint="eastAsia" w:asciiTheme="minorEastAsia" w:hAnsiTheme="minorEastAsia" w:cstheme="minorEastAsia"/>
          <w:b/>
          <w:bCs/>
          <w:kern w:val="0"/>
          <w:sz w:val="32"/>
          <w:szCs w:val="32"/>
          <w:lang w:val="en-US" w:eastAsia="zh-CN"/>
        </w:rPr>
        <w:t>热带农林学院</w:t>
      </w:r>
      <w:r>
        <w:rPr>
          <w:rFonts w:hint="eastAsia" w:asciiTheme="minorEastAsia" w:hAnsiTheme="minorEastAsia" w:eastAsiaTheme="minorEastAsia" w:cstheme="minorEastAsia"/>
          <w:b/>
          <w:bCs/>
          <w:kern w:val="0"/>
          <w:sz w:val="32"/>
          <w:szCs w:val="32"/>
          <w:lang w:val="en-US" w:eastAsia="zh-CN"/>
        </w:rPr>
        <w:t>儋州校区人文通识经典智慧树网络课程及简介</w:t>
      </w:r>
    </w:p>
    <w:p/>
    <w:tbl>
      <w:tblPr>
        <w:tblStyle w:val="3"/>
        <w:tblpPr w:leftFromText="180" w:rightFromText="180" w:vertAnchor="text" w:horzAnchor="page" w:tblpX="1262" w:tblpY="432"/>
        <w:tblOverlap w:val="never"/>
        <w:tblW w:w="94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0"/>
        <w:gridCol w:w="4192"/>
        <w:gridCol w:w="2474"/>
        <w:gridCol w:w="1228"/>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630" w:type="dxa"/>
            <w:tcBorders>
              <w:top w:val="single" w:color="000000" w:sz="4" w:space="0"/>
              <w:left w:val="single" w:color="000000" w:sz="4" w:space="0"/>
              <w:bottom w:val="single" w:color="000000" w:sz="4" w:space="0"/>
              <w:right w:val="single" w:color="000000" w:sz="4" w:space="0"/>
            </w:tcBorders>
            <w:shd w:val="clear" w:color="auto" w:fill="008080"/>
            <w:vAlign w:val="center"/>
          </w:tcPr>
          <w:p>
            <w:pPr>
              <w:keepNext w:val="0"/>
              <w:keepLines w:val="0"/>
              <w:widowControl/>
              <w:suppressLineNumbers w:val="0"/>
              <w:jc w:val="center"/>
              <w:textAlignment w:val="center"/>
              <w:rPr>
                <w:rFonts w:ascii="微软雅黑" w:hAnsi="微软雅黑" w:eastAsia="微软雅黑" w:cs="微软雅黑"/>
                <w:b/>
                <w:i w:val="0"/>
                <w:color w:val="FFFFFF"/>
                <w:sz w:val="20"/>
                <w:szCs w:val="20"/>
                <w:u w:val="none"/>
              </w:rPr>
            </w:pPr>
            <w:r>
              <w:rPr>
                <w:rFonts w:hint="eastAsia" w:ascii="微软雅黑" w:hAnsi="微软雅黑" w:eastAsia="微软雅黑" w:cs="微软雅黑"/>
                <w:b/>
                <w:i w:val="0"/>
                <w:color w:val="FFFFFF"/>
                <w:kern w:val="0"/>
                <w:sz w:val="20"/>
                <w:szCs w:val="20"/>
                <w:u w:val="none"/>
                <w:lang w:val="en-US" w:eastAsia="zh-CN" w:bidi="ar"/>
              </w:rPr>
              <w:t>序号</w:t>
            </w:r>
            <w:r>
              <w:rPr>
                <w:rFonts w:hint="eastAsia" w:ascii="微软雅黑" w:hAnsi="微软雅黑" w:eastAsia="微软雅黑" w:cs="微软雅黑"/>
                <w:b/>
                <w:i w:val="0"/>
                <w:color w:val="FFFFFF"/>
                <w:kern w:val="0"/>
                <w:sz w:val="20"/>
                <w:szCs w:val="20"/>
                <w:u w:val="none"/>
                <w:lang w:val="en-US" w:eastAsia="zh-CN" w:bidi="ar"/>
              </w:rPr>
              <w:drawing>
                <wp:inline distT="0" distB="0" distL="114300" distR="114300">
                  <wp:extent cx="952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9525" cy="9525"/>
                          </a:xfrm>
                          <a:prstGeom prst="rect">
                            <a:avLst/>
                          </a:prstGeom>
                          <a:noFill/>
                          <a:ln w="9525">
                            <a:noFill/>
                          </a:ln>
                        </pic:spPr>
                      </pic:pic>
                    </a:graphicData>
                  </a:graphic>
                </wp:inline>
              </w:drawing>
            </w:r>
            <w:r>
              <w:rPr>
                <w:rFonts w:hint="eastAsia" w:ascii="微软雅黑" w:hAnsi="微软雅黑" w:eastAsia="微软雅黑" w:cs="微软雅黑"/>
                <w:b/>
                <w:i w:val="0"/>
                <w:color w:val="FFFFFF"/>
                <w:kern w:val="0"/>
                <w:sz w:val="20"/>
                <w:szCs w:val="20"/>
                <w:u w:val="none"/>
                <w:lang w:val="en-US" w:eastAsia="zh-CN" w:bidi="ar"/>
              </w:rPr>
              <w:t xml:space="preserve"> </w:t>
            </w:r>
          </w:p>
        </w:tc>
        <w:tc>
          <w:tcPr>
            <w:tcW w:w="4192" w:type="dxa"/>
            <w:tcBorders>
              <w:top w:val="single" w:color="000000" w:sz="4" w:space="0"/>
              <w:left w:val="single" w:color="000000" w:sz="4" w:space="0"/>
            </w:tcBorders>
            <w:shd w:val="clear" w:color="auto" w:fill="008080"/>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0"/>
                <w:szCs w:val="20"/>
                <w:u w:val="none"/>
              </w:rPr>
            </w:pPr>
            <w:r>
              <w:rPr>
                <w:rFonts w:hint="eastAsia" w:ascii="微软雅黑" w:hAnsi="微软雅黑" w:eastAsia="微软雅黑" w:cs="微软雅黑"/>
                <w:b/>
                <w:i w:val="0"/>
                <w:color w:val="FFFFFF"/>
                <w:kern w:val="0"/>
                <w:sz w:val="20"/>
                <w:szCs w:val="20"/>
                <w:u w:val="none"/>
                <w:lang w:val="en-US" w:eastAsia="zh-CN" w:bidi="ar"/>
              </w:rPr>
              <w:t>课程名称</w:t>
            </w:r>
          </w:p>
        </w:tc>
        <w:tc>
          <w:tcPr>
            <w:tcW w:w="2474" w:type="dxa"/>
            <w:tcBorders>
              <w:top w:val="single" w:color="000000" w:sz="4" w:space="0"/>
              <w:left w:val="single" w:color="000000" w:sz="4" w:space="0"/>
              <w:bottom w:val="single" w:color="000000" w:sz="4" w:space="0"/>
              <w:right w:val="single" w:color="000000" w:sz="4" w:space="0"/>
            </w:tcBorders>
            <w:shd w:val="clear" w:color="auto" w:fill="008080"/>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0"/>
                <w:szCs w:val="20"/>
                <w:u w:val="none"/>
              </w:rPr>
            </w:pPr>
            <w:r>
              <w:rPr>
                <w:rFonts w:hint="eastAsia" w:ascii="微软雅黑" w:hAnsi="微软雅黑" w:eastAsia="微软雅黑" w:cs="微软雅黑"/>
                <w:b/>
                <w:i w:val="0"/>
                <w:color w:val="FFFFFF"/>
                <w:kern w:val="0"/>
                <w:sz w:val="20"/>
                <w:szCs w:val="20"/>
                <w:u w:val="none"/>
                <w:lang w:val="en-US" w:eastAsia="zh-CN" w:bidi="ar"/>
              </w:rPr>
              <w:t>开课学校</w:t>
            </w:r>
          </w:p>
        </w:tc>
        <w:tc>
          <w:tcPr>
            <w:tcW w:w="1228" w:type="dxa"/>
            <w:tcBorders>
              <w:top w:val="single" w:color="000000" w:sz="4" w:space="0"/>
              <w:left w:val="single" w:color="000000" w:sz="4" w:space="0"/>
              <w:bottom w:val="single" w:color="000000" w:sz="4" w:space="0"/>
              <w:right w:val="single" w:color="000000" w:sz="4" w:space="0"/>
            </w:tcBorders>
            <w:shd w:val="clear" w:color="auto" w:fill="008080"/>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0"/>
                <w:szCs w:val="20"/>
                <w:u w:val="none"/>
              </w:rPr>
            </w:pPr>
            <w:r>
              <w:rPr>
                <w:rFonts w:hint="eastAsia" w:ascii="微软雅黑" w:hAnsi="微软雅黑" w:eastAsia="微软雅黑" w:cs="微软雅黑"/>
                <w:b/>
                <w:i w:val="0"/>
                <w:color w:val="FFFFFF"/>
                <w:kern w:val="0"/>
                <w:sz w:val="20"/>
                <w:szCs w:val="20"/>
                <w:u w:val="none"/>
                <w:lang w:val="en-US" w:eastAsia="zh-CN" w:bidi="ar"/>
              </w:rPr>
              <w:t>负责人</w:t>
            </w:r>
          </w:p>
        </w:tc>
        <w:tc>
          <w:tcPr>
            <w:tcW w:w="914" w:type="dxa"/>
            <w:tcBorders>
              <w:top w:val="single" w:color="000000" w:sz="4" w:space="0"/>
              <w:left w:val="single" w:color="000000" w:sz="4" w:space="0"/>
              <w:bottom w:val="single" w:color="000000" w:sz="4" w:space="0"/>
              <w:right w:val="single" w:color="000000" w:sz="4" w:space="0"/>
            </w:tcBorders>
            <w:shd w:val="clear" w:color="auto" w:fill="008080"/>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0"/>
                <w:szCs w:val="20"/>
                <w:u w:val="none"/>
              </w:rPr>
            </w:pPr>
            <w:r>
              <w:rPr>
                <w:rFonts w:hint="eastAsia" w:ascii="微软雅黑" w:hAnsi="微软雅黑" w:eastAsia="微软雅黑" w:cs="微软雅黑"/>
                <w:b/>
                <w:i w:val="0"/>
                <w:color w:val="FFFFFF"/>
                <w:kern w:val="0"/>
                <w:sz w:val="20"/>
                <w:szCs w:val="20"/>
                <w:u w:val="none"/>
                <w:lang w:val="en-US" w:eastAsia="zh-CN" w:bidi="ar"/>
              </w:rPr>
              <w:t>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0"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1</w:t>
            </w:r>
          </w:p>
        </w:tc>
        <w:tc>
          <w:tcPr>
            <w:tcW w:w="4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中国古典诗词中的品格与修养</w:t>
            </w:r>
          </w:p>
        </w:tc>
        <w:tc>
          <w:tcPr>
            <w:tcW w:w="24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南开大学</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张静</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1"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c>
          <w:tcPr>
            <w:tcW w:w="4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中国哲学经典著作导读</w:t>
            </w:r>
          </w:p>
        </w:tc>
        <w:tc>
          <w:tcPr>
            <w:tcW w:w="24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西安交通大学</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燕连福</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2"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3</w:t>
            </w:r>
          </w:p>
        </w:tc>
        <w:tc>
          <w:tcPr>
            <w:tcW w:w="4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中华国学</w:t>
            </w:r>
          </w:p>
        </w:tc>
        <w:tc>
          <w:tcPr>
            <w:tcW w:w="24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南开大学</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张荣明</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5"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4</w:t>
            </w:r>
          </w:p>
        </w:tc>
        <w:tc>
          <w:tcPr>
            <w:tcW w:w="41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文艺复兴经典名著选读</w:t>
            </w:r>
          </w:p>
        </w:tc>
        <w:tc>
          <w:tcPr>
            <w:tcW w:w="24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北京大学</w:t>
            </w:r>
          </w:p>
        </w:tc>
        <w:tc>
          <w:tcPr>
            <w:tcW w:w="12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朱孝远</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8"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5</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孙子兵法中的思维智慧</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哈尔滨工程大学</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于凡</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3" w:hRule="atLeast"/>
        </w:trPr>
        <w:tc>
          <w:tcPr>
            <w:tcW w:w="6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6</w:t>
            </w:r>
          </w:p>
        </w:tc>
        <w:tc>
          <w:tcPr>
            <w:tcW w:w="41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唐诗宋词人文解读</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上海交通大学</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李康化</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2</w:t>
            </w:r>
          </w:p>
        </w:tc>
      </w:tr>
    </w:tbl>
    <w:p/>
    <w:p>
      <w:pPr>
        <w:rPr>
          <w:rFonts w:asciiTheme="minorHAnsi" w:hAnsiTheme="minorHAnsi" w:eastAsiaTheme="minorEastAsia" w:cstheme="minorBidi"/>
          <w:kern w:val="2"/>
          <w:sz w:val="21"/>
          <w:szCs w:val="24"/>
          <w:lang w:val="en-US" w:eastAsia="zh-CN" w:bidi="ar-SA"/>
        </w:rPr>
      </w:pPr>
    </w:p>
    <w:p>
      <w:pPr>
        <w:rPr>
          <w:rFonts w:asciiTheme="minorHAnsi" w:hAnsiTheme="minorHAnsi" w:eastAsiaTheme="minorEastAsia" w:cstheme="minorBidi"/>
          <w:kern w:val="2"/>
          <w:sz w:val="21"/>
          <w:szCs w:val="24"/>
          <w:lang w:val="en-US" w:eastAsia="zh-CN" w:bidi="ar-SA"/>
        </w:rPr>
      </w:pP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课程简介：</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1、课程名称：中国古典诗词中的品格与修养</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本课程结合具体作品，分别从作品中主人公的品格、作家自身的修养以及读者境界的层次逐个深入地引导大家一起去分析影响中国古典诗词中品格修养高下的因素，也就是作品、作家、读者三要素。选取了杜甫、李商隐、韦庄、晏殊、秦观、李清照、王国维等七位重要作家，逐一赏析他们的佳作名篇、剖解他们各自最具代表性的语体风格，引领大家深入对这些作家品格、作品风格的体认。结合现实生活选取了一批经典诗词，借助古典诗词佳作名篇的感染力，培养美好的人生情怀。</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2、课程名称：中国哲学经典著作导读</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本课程介绍中国哲学经典著作的主要思想。其中包括《周易》、孔子《论语》、老子《道德经》，《大学》《中庸》，《庄子》，《孙子兵法》，《墨经》，《心经》、朱熹理学想以及王阳明《传习录》的思想。既有对儒释道经典的介绍，也有对理学、心学思想的阐释，以期以一种更广阔的视角看待中国传统哲学，让学生能够对中国传统哲学有一种全方位的认识。</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3、课程名称：中华国学</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本课程是南开大学人文素质通识教育课程，获中国高等教育学会“大学素质教育精品通选课”称号。本课程中涉及诸子百家的部分，以“诸子的智慧”为课程名称，在教育部“爱课程”网站、“网易公开课”播出后，被评为“国家视频公开课”。现与东西部高校课程共享联盟的服务运营商智慧树合作，推出此课程。课程主要介绍：</w:t>
      </w:r>
      <w:r>
        <w:rPr>
          <w:rFonts w:hint="default" w:ascii="仿宋_GB2312" w:hAnsi="仿宋_GB2312" w:eastAsia="仿宋_GB2312" w:cs="仿宋_GB2312"/>
          <w:i w:val="0"/>
          <w:color w:val="000000"/>
          <w:kern w:val="0"/>
          <w:sz w:val="30"/>
          <w:szCs w:val="30"/>
          <w:u w:val="none"/>
          <w:lang w:val="en-US" w:eastAsia="zh-CN" w:bidi="ar"/>
        </w:rPr>
        <w:t>《易经》与易学</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阴阳五行学说法家学说</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先秦儒学</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诸子学说</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儒家经学</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老子道学</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庄子道学</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道教学说</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佛教禅学</w:t>
      </w:r>
      <w:r>
        <w:rPr>
          <w:rFonts w:hint="eastAsia" w:ascii="仿宋_GB2312" w:hAnsi="仿宋_GB2312" w:eastAsia="仿宋_GB2312" w:cs="仿宋_GB2312"/>
          <w:i w:val="0"/>
          <w:color w:val="000000"/>
          <w:kern w:val="0"/>
          <w:sz w:val="30"/>
          <w:szCs w:val="30"/>
          <w:u w:val="none"/>
          <w:lang w:val="en-US" w:eastAsia="zh-CN" w:bidi="ar"/>
        </w:rPr>
        <w:t>、</w:t>
      </w:r>
      <w:r>
        <w:rPr>
          <w:rFonts w:hint="default" w:ascii="仿宋_GB2312" w:hAnsi="仿宋_GB2312" w:eastAsia="仿宋_GB2312" w:cs="仿宋_GB2312"/>
          <w:i w:val="0"/>
          <w:color w:val="000000"/>
          <w:kern w:val="0"/>
          <w:sz w:val="30"/>
          <w:szCs w:val="30"/>
          <w:u w:val="none"/>
          <w:lang w:val="en-US" w:eastAsia="zh-CN" w:bidi="ar"/>
        </w:rPr>
        <w:t>唯识学</w:t>
      </w:r>
      <w:r>
        <w:rPr>
          <w:rFonts w:hint="eastAsia" w:ascii="仿宋_GB2312" w:hAnsi="仿宋_GB2312" w:eastAsia="仿宋_GB2312" w:cs="仿宋_GB2312"/>
          <w:i w:val="0"/>
          <w:color w:val="000000"/>
          <w:kern w:val="0"/>
          <w:sz w:val="30"/>
          <w:szCs w:val="30"/>
          <w:u w:val="none"/>
          <w:lang w:val="en-US" w:eastAsia="zh-CN" w:bidi="ar"/>
        </w:rPr>
        <w:t>。本课程培养大学生高尚人格及审美情趣并实现国学文化的广度和深度的弘扬。</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p>
    <w:p>
      <w:pPr>
        <w:keepNext w:val="0"/>
        <w:keepLines w:val="0"/>
        <w:pageBreakBefore w:val="0"/>
        <w:widowControl w:val="0"/>
        <w:numPr>
          <w:ilvl w:val="0"/>
          <w:numId w:val="1"/>
        </w:numPr>
        <w:tabs>
          <w:tab w:val="left" w:pos="1370"/>
        </w:tabs>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b/>
          <w:bCs/>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课程名称：文艺复兴经典名著选读</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本课程不单纯从历史的角度讲历史，而是从大文化的内涵发掘历史。课程以文艺复兴关键人物纵向陈列框架，以人物代表著作横向组织内容，历史、政治、文化、艺术——多学科内容交叉覆盖。让学生掌握欧洲文艺复兴历史的基本脉络，了解文艺复兴艺术、文学作品的风格及同时期政治、文化的风格；理解文艺复兴是欧洲由衰及兴的转折点；认知文化对国家发展的重要性；领悟学习文艺复兴的现实意义——文化强则国家强。</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p>
    <w:p>
      <w:pPr>
        <w:keepNext w:val="0"/>
        <w:keepLines w:val="0"/>
        <w:pageBreakBefore w:val="0"/>
        <w:widowControl w:val="0"/>
        <w:numPr>
          <w:ilvl w:val="0"/>
          <w:numId w:val="1"/>
        </w:numPr>
        <w:tabs>
          <w:tab w:val="left" w:pos="1370"/>
        </w:tabs>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b/>
          <w:bCs/>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课程名称：孙子兵法中的思维智慧</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本课程以《孙子兵法》书中的思想观点为依托，结合大量事例分析，重点讲授思想的内涵和运用。课程内容中包含有大量的事例，涉及军事、政治、商业、外交、体育等各个领域。由于事例的涉及面较广，所以总能找到学生感兴趣的切合点，从而引导学生建立正确的世界观和人生观，学习分析问题的方法论。</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p>
    <w:p>
      <w:pPr>
        <w:keepNext w:val="0"/>
        <w:keepLines w:val="0"/>
        <w:pageBreakBefore w:val="0"/>
        <w:widowControl w:val="0"/>
        <w:numPr>
          <w:ilvl w:val="0"/>
          <w:numId w:val="1"/>
        </w:numPr>
        <w:tabs>
          <w:tab w:val="left" w:pos="1370"/>
        </w:tabs>
        <w:kinsoku/>
        <w:wordWrap/>
        <w:overflowPunct/>
        <w:topLinePunct w:val="0"/>
        <w:autoSpaceDE/>
        <w:autoSpaceDN/>
        <w:bidi w:val="0"/>
        <w:adjustRightInd/>
        <w:snapToGrid/>
        <w:spacing w:line="240" w:lineRule="auto"/>
        <w:ind w:left="0" w:leftChars="0" w:right="0" w:rightChars="0" w:firstLine="602"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b/>
          <w:bCs/>
          <w:i w:val="0"/>
          <w:color w:val="000000"/>
          <w:kern w:val="0"/>
          <w:sz w:val="30"/>
          <w:szCs w:val="30"/>
          <w:u w:val="none"/>
          <w:lang w:val="en-US" w:eastAsia="zh-CN" w:bidi="ar"/>
        </w:rPr>
        <w:t>课程名称：唐诗宋词人文解读</w:t>
      </w:r>
    </w:p>
    <w:p>
      <w:pPr>
        <w:keepNext w:val="0"/>
        <w:keepLines w:val="0"/>
        <w:pageBreakBefore w:val="0"/>
        <w:widowControl w:val="0"/>
        <w:tabs>
          <w:tab w:val="left" w:pos="1370"/>
        </w:tabs>
        <w:kinsoku/>
        <w:wordWrap/>
        <w:overflowPunct/>
        <w:topLinePunct w:val="0"/>
        <w:autoSpaceDE/>
        <w:autoSpaceDN/>
        <w:bidi w:val="0"/>
        <w:adjustRightInd/>
        <w:snapToGrid/>
        <w:spacing w:line="240" w:lineRule="auto"/>
        <w:ind w:left="0" w:leftChars="0" w:right="0" w:rightChars="0" w:firstLine="600" w:firstLineChars="200"/>
        <w:jc w:val="left"/>
        <w:textAlignment w:val="auto"/>
        <w:outlineLvl w:val="9"/>
        <w:rPr>
          <w:rFonts w:hint="eastAsia" w:ascii="仿宋_GB2312" w:hAnsi="仿宋_GB2312" w:eastAsia="仿宋_GB2312" w:cs="仿宋_GB2312"/>
          <w:i w:val="0"/>
          <w:color w:val="000000"/>
          <w:kern w:val="0"/>
          <w:sz w:val="30"/>
          <w:szCs w:val="30"/>
          <w:u w:val="none"/>
          <w:lang w:val="en-US" w:eastAsia="zh-CN" w:bidi="ar"/>
        </w:rPr>
      </w:pPr>
      <w:r>
        <w:rPr>
          <w:rFonts w:hint="eastAsia" w:ascii="仿宋_GB2312" w:hAnsi="仿宋_GB2312" w:eastAsia="仿宋_GB2312" w:cs="仿宋_GB2312"/>
          <w:i w:val="0"/>
          <w:color w:val="000000"/>
          <w:kern w:val="0"/>
          <w:sz w:val="30"/>
          <w:szCs w:val="30"/>
          <w:u w:val="none"/>
          <w:lang w:val="en-US" w:eastAsia="zh-CN" w:bidi="ar"/>
        </w:rPr>
        <w:t>《唐诗宋词人文解读》不是单纯的诗词鉴赏课程，侧重点着眼在主题与情感、诗人与时代、艺术与审美等所蕴涵的人文精神。课程选取了唐诗、宋词中有代表性的若干主题，涉及到诗学样式、词体内涵、文人心理、文学种群、诗词情感、社会文化、文人与政治等多个层面的内容，涵盖了文学、哲学、心理学、文化人类学、政治学等各个层面。并通过“人”与“文”结合，将多个层次与层面相统一于“人文精神”。本课程选取的角度是主题类型的人文解读，与我们的日常生活以及文化精神生活息息相关，既能够引发情感共鸣，又能够给予审美愉悦。本课程让学生在读诗论词之中，通过中国文人了解中国历史与文化。《唐诗宋词人文解读》讲人，讲文，讲唐诗宋词中蕴含的人文精神，从中获得人生感悟、生活智慧。</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D8C57"/>
    <w:multiLevelType w:val="singleLevel"/>
    <w:tmpl w:val="5A4D8C5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FF6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王冬梅</cp:lastModifiedBy>
  <dcterms:modified xsi:type="dcterms:W3CDTF">2018-12-26T00:20:15Z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