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4"/>
        </w:rPr>
      </w:pPr>
      <w:r>
        <w:rPr>
          <w:rFonts w:hint="eastAsia" w:ascii="宋体" w:hAnsi="宋体"/>
          <w:b/>
          <w:sz w:val="24"/>
        </w:rPr>
        <w:t>2019-2020学年第2学期</w:t>
      </w:r>
      <w:r>
        <w:rPr>
          <w:rFonts w:hint="eastAsia" w:ascii="宋体" w:hAnsi="宋体"/>
          <w:b/>
          <w:sz w:val="24"/>
          <w:lang w:eastAsia="zh-CN"/>
        </w:rPr>
        <w:t>下半段</w:t>
      </w:r>
      <w:bookmarkStart w:id="0" w:name="_GoBack"/>
      <w:bookmarkEnd w:id="0"/>
      <w:r>
        <w:rPr>
          <w:rFonts w:hint="eastAsia" w:ascii="宋体" w:hAnsi="宋体"/>
          <w:b/>
          <w:sz w:val="24"/>
        </w:rPr>
        <w:t>“人文通识经典（传统与现代经典选读）”课程开设课程及简介</w:t>
      </w:r>
    </w:p>
    <w:tbl>
      <w:tblPr>
        <w:tblStyle w:val="7"/>
        <w:tblW w:w="5215" w:type="pct"/>
        <w:tblInd w:w="0" w:type="dxa"/>
        <w:tblLayout w:type="fixed"/>
        <w:tblCellMar>
          <w:top w:w="0" w:type="dxa"/>
          <w:left w:w="108" w:type="dxa"/>
          <w:bottom w:w="0" w:type="dxa"/>
          <w:right w:w="108" w:type="dxa"/>
        </w:tblCellMar>
      </w:tblPr>
      <w:tblGrid>
        <w:gridCol w:w="762"/>
        <w:gridCol w:w="2344"/>
        <w:gridCol w:w="1088"/>
        <w:gridCol w:w="762"/>
        <w:gridCol w:w="2658"/>
        <w:gridCol w:w="1275"/>
      </w:tblGrid>
      <w:tr>
        <w:tblPrEx>
          <w:tblCellMar>
            <w:top w:w="0" w:type="dxa"/>
            <w:left w:w="108" w:type="dxa"/>
            <w:bottom w:w="0" w:type="dxa"/>
            <w:right w:w="108" w:type="dxa"/>
          </w:tblCellMar>
        </w:tblPrEx>
        <w:trPr>
          <w:trHeight w:val="2441"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318" w:type="pct"/>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课程名称</w:t>
            </w:r>
          </w:p>
        </w:tc>
        <w:tc>
          <w:tcPr>
            <w:tcW w:w="611" w:type="pct"/>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任课教师</w:t>
            </w:r>
          </w:p>
        </w:tc>
        <w:tc>
          <w:tcPr>
            <w:tcW w:w="428" w:type="pct"/>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教学</w:t>
            </w:r>
          </w:p>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班数</w:t>
            </w:r>
          </w:p>
        </w:tc>
        <w:tc>
          <w:tcPr>
            <w:tcW w:w="1495" w:type="pct"/>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每教学班课程容量</w:t>
            </w:r>
          </w:p>
        </w:tc>
        <w:tc>
          <w:tcPr>
            <w:tcW w:w="717" w:type="pct"/>
            <w:tcBorders>
              <w:top w:val="single" w:color="auto" w:sz="4" w:space="0"/>
              <w:bottom w:val="single" w:color="auto" w:sz="4" w:space="0"/>
              <w:right w:val="single" w:color="auto" w:sz="4" w:space="0"/>
            </w:tcBorders>
            <w:noWrap/>
            <w:vAlign w:val="center"/>
          </w:tcPr>
          <w:p>
            <w:pPr>
              <w:widowControl/>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QQ群号</w:t>
            </w:r>
          </w:p>
        </w:tc>
      </w:tr>
      <w:tr>
        <w:tblPrEx>
          <w:tblCellMar>
            <w:top w:w="0" w:type="dxa"/>
            <w:left w:w="108" w:type="dxa"/>
            <w:bottom w:w="0" w:type="dxa"/>
            <w:right w:w="108" w:type="dxa"/>
          </w:tblCellMar>
        </w:tblPrEx>
        <w:trPr>
          <w:trHeight w:val="429" w:hRule="atLeast"/>
        </w:trPr>
        <w:tc>
          <w:tcPr>
            <w:tcW w:w="428"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w:t>
            </w:r>
          </w:p>
        </w:tc>
        <w:tc>
          <w:tcPr>
            <w:tcW w:w="131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海南历史文化</w:t>
            </w:r>
          </w:p>
        </w:tc>
        <w:tc>
          <w:tcPr>
            <w:tcW w:w="611"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朱小宁</w:t>
            </w:r>
          </w:p>
        </w:tc>
        <w:tc>
          <w:tcPr>
            <w:tcW w:w="42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14:textFill>
                  <w14:solidFill>
                    <w14:schemeClr w14:val="tx1"/>
                  </w14:solidFill>
                </w14:textFill>
              </w:rPr>
            </w:pPr>
            <w:r>
              <w:rPr>
                <w:rFonts w:hint="eastAsia"/>
                <w:lang w:val="en-US" w:eastAsia="zh-CN"/>
              </w:rPr>
              <w:t xml:space="preserve">2366367956  </w:t>
            </w:r>
          </w:p>
        </w:tc>
      </w:tr>
      <w:tr>
        <w:tblPrEx>
          <w:tblCellMar>
            <w:top w:w="0" w:type="dxa"/>
            <w:left w:w="108" w:type="dxa"/>
            <w:bottom w:w="0" w:type="dxa"/>
            <w:right w:w="108" w:type="dxa"/>
          </w:tblCellMar>
        </w:tblPrEx>
        <w:trPr>
          <w:trHeight w:val="594" w:hRule="atLeast"/>
        </w:trPr>
        <w:tc>
          <w:tcPr>
            <w:tcW w:w="428"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131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宋词导读</w:t>
            </w:r>
          </w:p>
        </w:tc>
        <w:tc>
          <w:tcPr>
            <w:tcW w:w="611"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黄松梅</w:t>
            </w:r>
          </w:p>
        </w:tc>
        <w:tc>
          <w:tcPr>
            <w:tcW w:w="428" w:type="pct"/>
            <w:tcBorders>
              <w:top w:val="nil"/>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ind w:firstLine="1200" w:firstLineChars="500"/>
              <w:jc w:val="both"/>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118</w:t>
            </w:r>
          </w:p>
        </w:tc>
        <w:tc>
          <w:tcPr>
            <w:tcW w:w="717" w:type="pct"/>
            <w:tcBorders>
              <w:top w:val="single" w:color="auto" w:sz="4" w:space="0"/>
              <w:bottom w:val="single" w:color="auto" w:sz="4" w:space="0"/>
              <w:right w:val="single" w:color="auto" w:sz="4" w:space="0"/>
            </w:tcBorders>
            <w:noWrap/>
            <w:vAlign w:val="center"/>
          </w:tcPr>
          <w:p>
            <w:pPr>
              <w:rPr>
                <w:rFonts w:ascii="仿宋_GB2312" w:eastAsia="仿宋_GB2312"/>
                <w:color w:val="000000" w:themeColor="text1"/>
                <w:kern w:val="0"/>
                <w:sz w:val="28"/>
                <w:szCs w:val="28"/>
                <w14:textFill>
                  <w14:solidFill>
                    <w14:schemeClr w14:val="tx1"/>
                  </w14:solidFill>
                </w14:textFill>
              </w:rPr>
            </w:pPr>
            <w:r>
              <w:rPr>
                <w:rFonts w:hint="eastAsia"/>
                <w:lang w:val="en-US" w:eastAsia="zh-CN"/>
              </w:rPr>
              <w:t>717529602</w:t>
            </w:r>
          </w:p>
        </w:tc>
      </w:tr>
      <w:tr>
        <w:tblPrEx>
          <w:tblCellMar>
            <w:top w:w="0" w:type="dxa"/>
            <w:left w:w="108" w:type="dxa"/>
            <w:bottom w:w="0" w:type="dxa"/>
            <w:right w:w="108" w:type="dxa"/>
          </w:tblCellMar>
        </w:tblPrEx>
        <w:trPr>
          <w:trHeight w:val="454" w:hRule="atLeast"/>
        </w:trPr>
        <w:tc>
          <w:tcPr>
            <w:tcW w:w="428"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p>
        </w:tc>
        <w:tc>
          <w:tcPr>
            <w:tcW w:w="131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社会学入门</w:t>
            </w:r>
          </w:p>
        </w:tc>
        <w:tc>
          <w:tcPr>
            <w:tcW w:w="611"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张灵辉</w:t>
            </w:r>
          </w:p>
        </w:tc>
        <w:tc>
          <w:tcPr>
            <w:tcW w:w="42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118(海甸）105(城西)</w:t>
            </w:r>
          </w:p>
        </w:tc>
        <w:tc>
          <w:tcPr>
            <w:tcW w:w="717" w:type="pct"/>
            <w:tcBorders>
              <w:top w:val="single" w:color="auto" w:sz="4" w:space="0"/>
              <w:bottom w:val="single" w:color="auto" w:sz="4" w:space="0"/>
              <w:right w:val="single" w:color="auto" w:sz="4" w:space="0"/>
            </w:tcBorders>
            <w:noWrap/>
            <w:vAlign w:val="center"/>
          </w:tcPr>
          <w:p>
            <w:pPr>
              <w:rPr>
                <w:rFonts w:ascii="仿宋_GB2312" w:eastAsia="仿宋_GB2312"/>
                <w:color w:val="auto"/>
                <w:kern w:val="0"/>
                <w:sz w:val="28"/>
                <w:szCs w:val="28"/>
              </w:rPr>
            </w:pPr>
            <w:r>
              <w:rPr>
                <w:rFonts w:hint="eastAsia"/>
                <w:lang w:val="en-US" w:eastAsia="zh-CN"/>
              </w:rPr>
              <w:t>93051217</w:t>
            </w:r>
          </w:p>
        </w:tc>
      </w:tr>
      <w:tr>
        <w:tblPrEx>
          <w:tblCellMar>
            <w:top w:w="0" w:type="dxa"/>
            <w:left w:w="108" w:type="dxa"/>
            <w:bottom w:w="0" w:type="dxa"/>
            <w:right w:w="108" w:type="dxa"/>
          </w:tblCellMar>
        </w:tblPrEx>
        <w:trPr>
          <w:trHeight w:val="454" w:hRule="atLeast"/>
        </w:trPr>
        <w:tc>
          <w:tcPr>
            <w:tcW w:w="428"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4</w:t>
            </w:r>
          </w:p>
        </w:tc>
        <w:tc>
          <w:tcPr>
            <w:tcW w:w="131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古典名篇选读</w:t>
            </w:r>
          </w:p>
        </w:tc>
        <w:tc>
          <w:tcPr>
            <w:tcW w:w="611"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仲冬梅</w:t>
            </w:r>
          </w:p>
        </w:tc>
        <w:tc>
          <w:tcPr>
            <w:tcW w:w="42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947636706 </w:t>
            </w:r>
          </w:p>
        </w:tc>
      </w:tr>
      <w:tr>
        <w:tblPrEx>
          <w:tblCellMar>
            <w:top w:w="0" w:type="dxa"/>
            <w:left w:w="108" w:type="dxa"/>
            <w:bottom w:w="0" w:type="dxa"/>
            <w:right w:w="108" w:type="dxa"/>
          </w:tblCellMar>
        </w:tblPrEx>
        <w:trPr>
          <w:trHeight w:val="454" w:hRule="atLeast"/>
        </w:trPr>
        <w:tc>
          <w:tcPr>
            <w:tcW w:w="428"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5</w:t>
            </w:r>
          </w:p>
        </w:tc>
        <w:tc>
          <w:tcPr>
            <w:tcW w:w="1318" w:type="pct"/>
            <w:tcBorders>
              <w:top w:val="nil"/>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中国民俗信仰</w:t>
            </w:r>
          </w:p>
        </w:tc>
        <w:tc>
          <w:tcPr>
            <w:tcW w:w="611" w:type="pct"/>
            <w:tcBorders>
              <w:top w:val="nil"/>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刘帅东</w:t>
            </w:r>
          </w:p>
        </w:tc>
        <w:tc>
          <w:tcPr>
            <w:tcW w:w="428" w:type="pct"/>
            <w:tcBorders>
              <w:top w:val="nil"/>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1095908872 </w:t>
            </w:r>
          </w:p>
        </w:tc>
      </w:tr>
      <w:tr>
        <w:tblPrEx>
          <w:tblCellMar>
            <w:top w:w="0" w:type="dxa"/>
            <w:left w:w="108" w:type="dxa"/>
            <w:bottom w:w="0" w:type="dxa"/>
            <w:right w:w="108" w:type="dxa"/>
          </w:tblCellMar>
        </w:tblPrEx>
        <w:trPr>
          <w:trHeight w:val="454" w:hRule="atLeast"/>
        </w:trPr>
        <w:tc>
          <w:tcPr>
            <w:tcW w:w="428"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w:t>
            </w:r>
          </w:p>
        </w:tc>
        <w:tc>
          <w:tcPr>
            <w:tcW w:w="131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中国文化概论</w:t>
            </w:r>
          </w:p>
        </w:tc>
        <w:tc>
          <w:tcPr>
            <w:tcW w:w="611"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安华涛</w:t>
            </w:r>
          </w:p>
        </w:tc>
        <w:tc>
          <w:tcPr>
            <w:tcW w:w="42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118(海甸）105(城西）</w:t>
            </w:r>
          </w:p>
        </w:tc>
        <w:tc>
          <w:tcPr>
            <w:tcW w:w="717" w:type="pct"/>
            <w:tcBorders>
              <w:top w:val="single" w:color="auto" w:sz="4" w:space="0"/>
              <w:bottom w:val="single" w:color="auto" w:sz="4" w:space="0"/>
              <w:right w:val="single" w:color="auto" w:sz="4" w:space="0"/>
            </w:tcBorders>
            <w:noWrap/>
            <w:vAlign w:val="center"/>
          </w:tcPr>
          <w:p>
            <w:pPr>
              <w:rPr>
                <w:rFonts w:ascii="仿宋_GB2312" w:eastAsia="仿宋_GB2312"/>
                <w:color w:val="auto"/>
                <w:kern w:val="0"/>
                <w:sz w:val="28"/>
                <w:szCs w:val="28"/>
              </w:rPr>
            </w:pPr>
            <w:r>
              <w:rPr>
                <w:rFonts w:hint="eastAsia"/>
                <w:lang w:val="en-US" w:eastAsia="zh-CN"/>
              </w:rPr>
              <w:t>1030598996</w:t>
            </w:r>
          </w:p>
        </w:tc>
      </w:tr>
      <w:tr>
        <w:tblPrEx>
          <w:tblCellMar>
            <w:top w:w="0" w:type="dxa"/>
            <w:left w:w="108" w:type="dxa"/>
            <w:bottom w:w="0" w:type="dxa"/>
            <w:right w:w="108" w:type="dxa"/>
          </w:tblCellMar>
        </w:tblPrEx>
        <w:trPr>
          <w:trHeight w:val="454" w:hRule="atLeast"/>
        </w:trPr>
        <w:tc>
          <w:tcPr>
            <w:tcW w:w="428"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7</w:t>
            </w:r>
          </w:p>
        </w:tc>
        <w:tc>
          <w:tcPr>
            <w:tcW w:w="131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广告创作与赏析</w:t>
            </w:r>
          </w:p>
        </w:tc>
        <w:tc>
          <w:tcPr>
            <w:tcW w:w="611"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张睿</w:t>
            </w:r>
          </w:p>
        </w:tc>
        <w:tc>
          <w:tcPr>
            <w:tcW w:w="428" w:type="pct"/>
            <w:tcBorders>
              <w:top w:val="nil"/>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118(海甸）105(城西)</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1080089454  </w:t>
            </w:r>
          </w:p>
        </w:tc>
      </w:tr>
      <w:tr>
        <w:tblPrEx>
          <w:tblCellMar>
            <w:top w:w="0" w:type="dxa"/>
            <w:left w:w="108" w:type="dxa"/>
            <w:bottom w:w="0" w:type="dxa"/>
            <w:right w:w="108" w:type="dxa"/>
          </w:tblCellMar>
        </w:tblPrEx>
        <w:trPr>
          <w:trHeight w:val="454" w:hRule="atLeast"/>
        </w:trPr>
        <w:tc>
          <w:tcPr>
            <w:tcW w:w="428"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p>
        </w:tc>
        <w:tc>
          <w:tcPr>
            <w:tcW w:w="131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古典名篇选读</w:t>
            </w:r>
          </w:p>
        </w:tc>
        <w:tc>
          <w:tcPr>
            <w:tcW w:w="611"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孙海兰</w:t>
            </w:r>
          </w:p>
        </w:tc>
        <w:tc>
          <w:tcPr>
            <w:tcW w:w="42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118(海甸）105(城西)</w:t>
            </w:r>
          </w:p>
        </w:tc>
        <w:tc>
          <w:tcPr>
            <w:tcW w:w="717" w:type="pct"/>
            <w:tcBorders>
              <w:top w:val="single" w:color="auto" w:sz="4" w:space="0"/>
              <w:bottom w:val="single" w:color="auto" w:sz="4" w:space="0"/>
              <w:right w:val="single" w:color="auto" w:sz="4" w:space="0"/>
            </w:tcBorders>
            <w:noWrap/>
            <w:vAlign w:val="center"/>
          </w:tcPr>
          <w:p>
            <w:pPr>
              <w:rPr>
                <w:rFonts w:ascii="仿宋_GB2312" w:eastAsia="仿宋_GB2312"/>
                <w:color w:val="auto"/>
                <w:kern w:val="0"/>
                <w:sz w:val="28"/>
                <w:szCs w:val="28"/>
              </w:rPr>
            </w:pPr>
            <w:r>
              <w:rPr>
                <w:rFonts w:hint="eastAsia"/>
                <w:lang w:val="en-US" w:eastAsia="zh-CN"/>
              </w:rPr>
              <w:t>1060087174</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9</w:t>
            </w:r>
          </w:p>
        </w:tc>
        <w:tc>
          <w:tcPr>
            <w:tcW w:w="131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电影赏析</w:t>
            </w:r>
          </w:p>
        </w:tc>
        <w:tc>
          <w:tcPr>
            <w:tcW w:w="611"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董楠楠</w:t>
            </w:r>
          </w:p>
        </w:tc>
        <w:tc>
          <w:tcPr>
            <w:tcW w:w="42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90(海甸）105(城西)</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966735313</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10</w:t>
            </w:r>
          </w:p>
        </w:tc>
        <w:tc>
          <w:tcPr>
            <w:tcW w:w="131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唐诗导读</w:t>
            </w:r>
          </w:p>
        </w:tc>
        <w:tc>
          <w:tcPr>
            <w:tcW w:w="611"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严孟春</w:t>
            </w:r>
          </w:p>
        </w:tc>
        <w:tc>
          <w:tcPr>
            <w:tcW w:w="42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rPr>
                <w:rFonts w:ascii="仿宋_GB2312" w:eastAsia="仿宋_GB2312"/>
                <w:color w:val="auto"/>
                <w:kern w:val="0"/>
                <w:sz w:val="28"/>
                <w:szCs w:val="28"/>
              </w:rPr>
            </w:pPr>
            <w:r>
              <w:rPr>
                <w:rFonts w:hint="eastAsia"/>
                <w:lang w:val="en-US" w:eastAsia="zh-CN"/>
              </w:rPr>
              <w:t>992486502</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11</w:t>
            </w:r>
          </w:p>
        </w:tc>
        <w:tc>
          <w:tcPr>
            <w:tcW w:w="1318" w:type="pct"/>
            <w:tcBorders>
              <w:top w:val="single" w:color="auto" w:sz="4" w:space="0"/>
              <w:left w:val="nil"/>
              <w:bottom w:val="single" w:color="auto" w:sz="4" w:space="0"/>
              <w:right w:val="single" w:color="auto" w:sz="4" w:space="0"/>
            </w:tcBorders>
            <w:noWrap/>
            <w:vAlign w:val="center"/>
          </w:tcPr>
          <w:p>
            <w:pPr>
              <w:ind w:firstLine="480" w:firstLineChars="200"/>
              <w:jc w:val="both"/>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媒介素养</w:t>
            </w:r>
          </w:p>
        </w:tc>
        <w:tc>
          <w:tcPr>
            <w:tcW w:w="611"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孙葳</w:t>
            </w:r>
          </w:p>
        </w:tc>
        <w:tc>
          <w:tcPr>
            <w:tcW w:w="42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w:t>
            </w:r>
          </w:p>
        </w:tc>
        <w:tc>
          <w:tcPr>
            <w:tcW w:w="149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105(城西)</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95185578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12</w:t>
            </w:r>
          </w:p>
        </w:tc>
        <w:tc>
          <w:tcPr>
            <w:tcW w:w="131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编辑九力</w:t>
            </w:r>
          </w:p>
        </w:tc>
        <w:tc>
          <w:tcPr>
            <w:tcW w:w="611"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高光辉</w:t>
            </w:r>
          </w:p>
        </w:tc>
        <w:tc>
          <w:tcPr>
            <w:tcW w:w="42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981832503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13</w:t>
            </w:r>
          </w:p>
        </w:tc>
        <w:tc>
          <w:tcPr>
            <w:tcW w:w="131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中西神话与文学</w:t>
            </w:r>
          </w:p>
        </w:tc>
        <w:tc>
          <w:tcPr>
            <w:tcW w:w="611"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李安斌</w:t>
            </w:r>
          </w:p>
        </w:tc>
        <w:tc>
          <w:tcPr>
            <w:tcW w:w="428"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1047096103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14</w:t>
            </w:r>
          </w:p>
        </w:tc>
        <w:tc>
          <w:tcPr>
            <w:tcW w:w="131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西方</w:t>
            </w:r>
            <w:r>
              <w:rPr>
                <w:rFonts w:hint="eastAsia" w:ascii="仿宋_GB2312" w:hAnsi="宋体" w:eastAsia="仿宋_GB2312"/>
                <w:color w:val="000000" w:themeColor="text1"/>
                <w:sz w:val="24"/>
                <w:szCs w:val="24"/>
                <w:lang w:eastAsia="zh-CN"/>
                <w14:textFill>
                  <w14:solidFill>
                    <w14:schemeClr w14:val="tx1"/>
                  </w14:solidFill>
                </w14:textFill>
              </w:rPr>
              <w:t>古典文明</w:t>
            </w:r>
          </w:p>
        </w:tc>
        <w:tc>
          <w:tcPr>
            <w:tcW w:w="611"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张芳宁</w:t>
            </w:r>
          </w:p>
        </w:tc>
        <w:tc>
          <w:tcPr>
            <w:tcW w:w="42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w:t>
            </w:r>
          </w:p>
        </w:tc>
        <w:tc>
          <w:tcPr>
            <w:tcW w:w="1495" w:type="pct"/>
            <w:tcBorders>
              <w:top w:val="single" w:color="auto" w:sz="4" w:space="0"/>
              <w:left w:val="nil"/>
              <w:bottom w:val="single" w:color="auto" w:sz="4" w:space="0"/>
              <w:right w:val="single" w:color="auto" w:sz="4" w:space="0"/>
            </w:tcBorders>
            <w:noWrap/>
            <w:vAlign w:val="center"/>
          </w:tcPr>
          <w:p>
            <w:pPr>
              <w:ind w:firstLine="720" w:firstLineChars="300"/>
              <w:jc w:val="center"/>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105(城西)</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994909378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15</w:t>
            </w:r>
          </w:p>
        </w:tc>
        <w:tc>
          <w:tcPr>
            <w:tcW w:w="131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跨文化交际</w:t>
            </w:r>
          </w:p>
        </w:tc>
        <w:tc>
          <w:tcPr>
            <w:tcW w:w="611"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毕</w:t>
            </w:r>
            <w:r>
              <w:rPr>
                <w:rFonts w:hint="eastAsia" w:ascii="仿宋_GB2312" w:hAnsi="宋体" w:eastAsia="仿宋_GB2312"/>
                <w:color w:val="000000" w:themeColor="text1"/>
                <w:sz w:val="24"/>
                <w:szCs w:val="24"/>
                <w:lang w:eastAsia="zh-CN"/>
                <w14:textFill>
                  <w14:solidFill>
                    <w14:schemeClr w14:val="tx1"/>
                  </w14:solidFill>
                </w14:textFill>
              </w:rPr>
              <w:t>燕</w:t>
            </w:r>
            <w:r>
              <w:rPr>
                <w:rFonts w:hint="eastAsia" w:ascii="仿宋_GB2312" w:hAnsi="宋体" w:eastAsia="仿宋_GB2312"/>
                <w:color w:val="000000" w:themeColor="text1"/>
                <w:sz w:val="24"/>
                <w:szCs w:val="24"/>
                <w14:textFill>
                  <w14:solidFill>
                    <w14:schemeClr w14:val="tx1"/>
                  </w14:solidFill>
                </w14:textFill>
              </w:rPr>
              <w:t>娟</w:t>
            </w:r>
          </w:p>
        </w:tc>
        <w:tc>
          <w:tcPr>
            <w:tcW w:w="42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659432754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16</w:t>
            </w:r>
          </w:p>
        </w:tc>
        <w:tc>
          <w:tcPr>
            <w:tcW w:w="131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西方经典绎读</w:t>
            </w:r>
          </w:p>
        </w:tc>
        <w:tc>
          <w:tcPr>
            <w:tcW w:w="611"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苏岩</w:t>
            </w:r>
          </w:p>
        </w:tc>
        <w:tc>
          <w:tcPr>
            <w:tcW w:w="42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951716789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17</w:t>
            </w:r>
          </w:p>
        </w:tc>
        <w:tc>
          <w:tcPr>
            <w:tcW w:w="131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广告创意</w:t>
            </w:r>
          </w:p>
        </w:tc>
        <w:tc>
          <w:tcPr>
            <w:tcW w:w="611"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吴君静</w:t>
            </w:r>
          </w:p>
        </w:tc>
        <w:tc>
          <w:tcPr>
            <w:tcW w:w="428"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118/105(城西)</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1053191732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18</w:t>
            </w:r>
          </w:p>
        </w:tc>
        <w:tc>
          <w:tcPr>
            <w:tcW w:w="131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西方经典绎读</w:t>
            </w:r>
          </w:p>
        </w:tc>
        <w:tc>
          <w:tcPr>
            <w:tcW w:w="611"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章颜</w:t>
            </w:r>
          </w:p>
        </w:tc>
        <w:tc>
          <w:tcPr>
            <w:tcW w:w="42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4</w:t>
            </w:r>
          </w:p>
        </w:tc>
        <w:tc>
          <w:tcPr>
            <w:tcW w:w="149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118/105(城西)</w:t>
            </w:r>
          </w:p>
        </w:tc>
        <w:tc>
          <w:tcPr>
            <w:tcW w:w="717" w:type="pct"/>
            <w:tcBorders>
              <w:top w:val="single" w:color="auto" w:sz="4" w:space="0"/>
              <w:bottom w:val="single" w:color="auto" w:sz="4" w:space="0"/>
              <w:right w:val="single" w:color="auto" w:sz="4" w:space="0"/>
            </w:tcBorders>
            <w:noWrap/>
            <w:vAlign w:val="center"/>
          </w:tcPr>
          <w:p>
            <w:pPr>
              <w:rPr>
                <w:rFonts w:ascii="仿宋_GB2312" w:eastAsia="仿宋_GB2312"/>
                <w:color w:val="auto"/>
                <w:kern w:val="0"/>
                <w:sz w:val="28"/>
                <w:szCs w:val="28"/>
              </w:rPr>
            </w:pPr>
            <w:r>
              <w:rPr>
                <w:rFonts w:hint="eastAsia"/>
                <w:lang w:val="en-US" w:eastAsia="zh-CN"/>
              </w:rPr>
              <w:t>960385175</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19</w:t>
            </w:r>
          </w:p>
        </w:tc>
        <w:tc>
          <w:tcPr>
            <w:tcW w:w="131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当代大众文化</w:t>
            </w:r>
          </w:p>
        </w:tc>
        <w:tc>
          <w:tcPr>
            <w:tcW w:w="611"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蒋磊</w:t>
            </w:r>
          </w:p>
        </w:tc>
        <w:tc>
          <w:tcPr>
            <w:tcW w:w="42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118/105(城西)</w:t>
            </w:r>
          </w:p>
        </w:tc>
        <w:tc>
          <w:tcPr>
            <w:tcW w:w="717" w:type="pct"/>
            <w:tcBorders>
              <w:top w:val="single" w:color="auto" w:sz="4" w:space="0"/>
              <w:bottom w:val="single" w:color="auto" w:sz="4" w:space="0"/>
              <w:right w:val="single" w:color="auto" w:sz="4" w:space="0"/>
            </w:tcBorders>
            <w:noWrap/>
            <w:vAlign w:val="center"/>
          </w:tcPr>
          <w:p>
            <w:pPr>
              <w:rPr>
                <w:rFonts w:ascii="仿宋_GB2312" w:eastAsia="仿宋_GB2312"/>
                <w:color w:val="auto"/>
                <w:kern w:val="0"/>
                <w:sz w:val="28"/>
                <w:szCs w:val="28"/>
              </w:rPr>
            </w:pPr>
            <w:r>
              <w:rPr>
                <w:rFonts w:hint="eastAsia"/>
                <w:lang w:val="en-US" w:eastAsia="zh-CN"/>
              </w:rPr>
              <w:t>301657592</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20</w:t>
            </w:r>
          </w:p>
        </w:tc>
        <w:tc>
          <w:tcPr>
            <w:tcW w:w="131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李白导读</w:t>
            </w:r>
          </w:p>
        </w:tc>
        <w:tc>
          <w:tcPr>
            <w:tcW w:w="611"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海 滨</w:t>
            </w:r>
          </w:p>
        </w:tc>
        <w:tc>
          <w:tcPr>
            <w:tcW w:w="42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1</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709930191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21</w:t>
            </w:r>
          </w:p>
        </w:tc>
        <w:tc>
          <w:tcPr>
            <w:tcW w:w="131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苏轼导读</w:t>
            </w:r>
          </w:p>
        </w:tc>
        <w:tc>
          <w:tcPr>
            <w:tcW w:w="611"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海 滨</w:t>
            </w:r>
          </w:p>
        </w:tc>
        <w:tc>
          <w:tcPr>
            <w:tcW w:w="42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1</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709930191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22</w:t>
            </w:r>
          </w:p>
        </w:tc>
        <w:tc>
          <w:tcPr>
            <w:tcW w:w="131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古典名篇选读</w:t>
            </w:r>
          </w:p>
        </w:tc>
        <w:tc>
          <w:tcPr>
            <w:tcW w:w="611"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t>张 平</w:t>
            </w:r>
          </w:p>
        </w:tc>
        <w:tc>
          <w:tcPr>
            <w:tcW w:w="42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1</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auto"/>
                <w:kern w:val="0"/>
                <w:sz w:val="28"/>
                <w:szCs w:val="28"/>
              </w:rPr>
            </w:pPr>
            <w:r>
              <w:rPr>
                <w:rFonts w:hint="eastAsia"/>
                <w:lang w:val="en-US" w:eastAsia="zh-CN"/>
              </w:rPr>
              <w:t xml:space="preserve">583588487 </w:t>
            </w:r>
          </w:p>
        </w:tc>
      </w:tr>
      <w:tr>
        <w:tblPrEx>
          <w:tblCellMar>
            <w:top w:w="0" w:type="dxa"/>
            <w:left w:w="108" w:type="dxa"/>
            <w:bottom w:w="0" w:type="dxa"/>
            <w:right w:w="108" w:type="dxa"/>
          </w:tblCellMar>
        </w:tblPrEx>
        <w:trPr>
          <w:trHeight w:val="454" w:hRule="atLeast"/>
        </w:trPr>
        <w:tc>
          <w:tcPr>
            <w:tcW w:w="428"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23</w:t>
            </w:r>
          </w:p>
        </w:tc>
        <w:tc>
          <w:tcPr>
            <w:tcW w:w="1318"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艺术概论</w:t>
            </w:r>
          </w:p>
        </w:tc>
        <w:tc>
          <w:tcPr>
            <w:tcW w:w="611"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t xml:space="preserve"> 刘  丹</w:t>
            </w:r>
          </w:p>
        </w:tc>
        <w:tc>
          <w:tcPr>
            <w:tcW w:w="428"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1</w:t>
            </w:r>
          </w:p>
        </w:tc>
        <w:tc>
          <w:tcPr>
            <w:tcW w:w="1495"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118</w:t>
            </w:r>
          </w:p>
        </w:tc>
        <w:tc>
          <w:tcPr>
            <w:tcW w:w="717" w:type="pct"/>
            <w:tcBorders>
              <w:top w:val="single" w:color="auto" w:sz="4" w:space="0"/>
              <w:bottom w:val="single" w:color="auto" w:sz="4" w:space="0"/>
              <w:right w:val="single" w:color="auto" w:sz="4" w:space="0"/>
            </w:tcBorders>
            <w:noWrap/>
            <w:vAlign w:val="center"/>
          </w:tcPr>
          <w:p>
            <w:pPr>
              <w:widowControl/>
              <w:jc w:val="center"/>
              <w:rPr>
                <w:rFonts w:hint="eastAsia"/>
                <w:lang w:val="en-US" w:eastAsia="zh-CN"/>
              </w:rPr>
            </w:pPr>
            <w:r>
              <w:rPr>
                <w:rFonts w:hint="eastAsia"/>
                <w:lang w:val="en-US" w:eastAsia="zh-CN"/>
              </w:rPr>
              <w:t xml:space="preserve">682276794 </w:t>
            </w:r>
          </w:p>
        </w:tc>
      </w:tr>
    </w:tbl>
    <w:p>
      <w:pPr>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1.课程名称：海南历史文化（朱小宁）</w:t>
      </w:r>
    </w:p>
    <w:p>
      <w:pPr>
        <w:pStyle w:val="2"/>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课程简介：本课程通过对海南历史文化生长的土壤、“海南”及其诸别称来源与西汉海南历史文化、黎族历史文化、明代海南历史文化、三沙历史文化、海南花梨木与沉香文化、海南旅游历史文化等等内容的讲解，展现海南深厚、充满魅力的历史文化，破除海南是“文化沙漠”无知之见。本课程帮助、引导学生深入了解海南历史文化，为宣传海南国际旅游岛的独特历史文化魅力添砖加瓦。同时，培育大学人文精神，营造大学文化氛围，达到提高修养、陶冶情操、启迪思维的教学目的。</w:t>
      </w:r>
    </w:p>
    <w:p>
      <w:pPr>
        <w:spacing w:line="360" w:lineRule="auto"/>
        <w:ind w:firstLine="361" w:firstLineChars="150"/>
        <w:rPr>
          <w:rFonts w:cs="宋体" w:asciiTheme="minorEastAsia" w:hAnsiTheme="minorEastAsia" w:eastAsiaTheme="minorEastAsia"/>
          <w:kern w:val="0"/>
          <w:sz w:val="24"/>
        </w:rPr>
      </w:pPr>
      <w:r>
        <w:rPr>
          <w:rFonts w:hint="eastAsia" w:asciiTheme="minorEastAsia" w:hAnsiTheme="minorEastAsia" w:eastAsiaTheme="minorEastAsia"/>
          <w:b/>
          <w:color w:val="000000"/>
          <w:sz w:val="24"/>
        </w:rPr>
        <w:t>2.课程名称：宋词导读（黄松梅）</w:t>
      </w:r>
    </w:p>
    <w:p>
      <w:pPr>
        <w:spacing w:line="360" w:lineRule="auto"/>
        <w:ind w:firstLine="360" w:firstLineChars="150"/>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课程简介：</w:t>
      </w:r>
      <w:r>
        <w:rPr>
          <w:rFonts w:hint="eastAsia" w:cs="宋体" w:asciiTheme="minorEastAsia" w:hAnsiTheme="minorEastAsia" w:eastAsiaTheme="minorEastAsia"/>
          <w:color w:val="000000"/>
          <w:kern w:val="0"/>
          <w:sz w:val="24"/>
        </w:rPr>
        <w:t>著名史学家</w:t>
      </w:r>
      <w:r>
        <w:fldChar w:fldCharType="begin"/>
      </w:r>
      <w:r>
        <w:instrText xml:space="preserve"> HYPERLINK "http://baike.baidu.com/view/2024.htm" \t "_blank" </w:instrText>
      </w:r>
      <w:r>
        <w:fldChar w:fldCharType="separate"/>
      </w:r>
      <w:r>
        <w:rPr>
          <w:rFonts w:hint="eastAsia" w:cs="宋体" w:asciiTheme="minorEastAsia" w:hAnsiTheme="minorEastAsia" w:eastAsiaTheme="minorEastAsia"/>
          <w:kern w:val="0"/>
          <w:sz w:val="24"/>
        </w:rPr>
        <w:t>陈寅恪</w:t>
      </w:r>
      <w:r>
        <w:rPr>
          <w:rFonts w:hint="eastAsia" w:cs="宋体" w:asciiTheme="minorEastAsia" w:hAnsiTheme="minorEastAsia" w:eastAsiaTheme="minorEastAsia"/>
          <w:kern w:val="0"/>
          <w:sz w:val="24"/>
        </w:rPr>
        <w:fldChar w:fldCharType="end"/>
      </w:r>
      <w:r>
        <w:rPr>
          <w:rFonts w:hint="eastAsia" w:cs="宋体" w:asciiTheme="minorEastAsia" w:hAnsiTheme="minorEastAsia" w:eastAsiaTheme="minorEastAsia"/>
          <w:color w:val="000000"/>
          <w:kern w:val="0"/>
          <w:sz w:val="24"/>
        </w:rPr>
        <w:t>说</w:t>
      </w:r>
      <w:r>
        <w:rPr>
          <w:rFonts w:hint="eastAsia" w:cs="宋体" w:asciiTheme="minorEastAsia" w:hAnsiTheme="minorEastAsia" w:eastAsiaTheme="minorEastAsia"/>
          <w:color w:val="333333"/>
          <w:kern w:val="0"/>
          <w:sz w:val="24"/>
        </w:rPr>
        <w:t>：</w:t>
      </w:r>
      <w:r>
        <w:rPr>
          <w:rFonts w:cs="Calibri" w:asciiTheme="minorEastAsia" w:hAnsiTheme="minorEastAsia" w:eastAsiaTheme="minorEastAsia"/>
          <w:color w:val="000000"/>
          <w:kern w:val="0"/>
          <w:sz w:val="24"/>
        </w:rPr>
        <w:t>“</w:t>
      </w:r>
      <w:r>
        <w:fldChar w:fldCharType="begin"/>
      </w:r>
      <w:r>
        <w:instrText xml:space="preserve"> HYPERLINK "http://baike.baidu.com/view/48252.htm" \t "_blank" </w:instrText>
      </w:r>
      <w:r>
        <w:fldChar w:fldCharType="separate"/>
      </w:r>
      <w:r>
        <w:rPr>
          <w:rFonts w:hint="eastAsia" w:cs="宋体" w:asciiTheme="minorEastAsia" w:hAnsiTheme="minorEastAsia" w:eastAsiaTheme="minorEastAsia"/>
          <w:kern w:val="0"/>
          <w:sz w:val="24"/>
        </w:rPr>
        <w:t>华夏民族</w:t>
      </w:r>
      <w:r>
        <w:rPr>
          <w:rFonts w:hint="eastAsia" w:cs="宋体" w:asciiTheme="minorEastAsia" w:hAnsiTheme="minorEastAsia" w:eastAsiaTheme="minorEastAsia"/>
          <w:kern w:val="0"/>
          <w:sz w:val="24"/>
        </w:rPr>
        <w:fldChar w:fldCharType="end"/>
      </w:r>
      <w:r>
        <w:rPr>
          <w:rFonts w:hint="eastAsia" w:cs="宋体" w:asciiTheme="minorEastAsia" w:hAnsiTheme="minorEastAsia" w:eastAsiaTheme="minorEastAsia"/>
          <w:color w:val="000000"/>
          <w:kern w:val="0"/>
          <w:sz w:val="24"/>
        </w:rPr>
        <w:t>之文化，历数千载之演进，造极于赵宋之世。</w:t>
      </w:r>
      <w:r>
        <w:rPr>
          <w:rFonts w:cs="Calibri"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而宋词亦是这“造极之世”中的瑰宝。宋词与唐诗一样，已成为中国文学史上永久性的艺术典范和审美对象；宋词的审美功能和认识功能历久弥新；是中华传统文化中最容易为现代人理解、接受的一种形态，是沟通现代人与传统文化的最直接的桥梁，是世界其他文化背景中的人民了解中华传统文化的最佳窗口。宋词对后世文学也有深刻的影响。本课程内容包括：宋词的起源、宋词的社会背景、宋词的流派、宋词不同时期流派代表性作品赏析、宋词对后世文化的影响、宋词的研究等。</w:t>
      </w:r>
    </w:p>
    <w:p>
      <w:pPr>
        <w:spacing w:line="360" w:lineRule="auto"/>
        <w:ind w:firstLine="361" w:firstLineChars="150"/>
        <w:rPr>
          <w:rFonts w:cs="宋体" w:asciiTheme="minorEastAsia" w:hAnsiTheme="minorEastAsia" w:eastAsiaTheme="minorEastAsia"/>
          <w:color w:val="000000"/>
          <w:kern w:val="0"/>
          <w:sz w:val="24"/>
        </w:rPr>
      </w:pPr>
      <w:r>
        <w:rPr>
          <w:rFonts w:hint="eastAsia" w:asciiTheme="minorEastAsia" w:hAnsiTheme="minorEastAsia" w:eastAsiaTheme="minorEastAsia"/>
          <w:b/>
          <w:sz w:val="24"/>
        </w:rPr>
        <w:t>3.课程名称：</w:t>
      </w:r>
      <w:r>
        <w:rPr>
          <w:rFonts w:hint="eastAsia" w:cs="宋体" w:asciiTheme="minorEastAsia" w:hAnsiTheme="minorEastAsia" w:eastAsiaTheme="minorEastAsia"/>
          <w:b/>
          <w:color w:val="000000"/>
          <w:kern w:val="0"/>
          <w:sz w:val="24"/>
        </w:rPr>
        <w:t>社会学入门</w:t>
      </w:r>
      <w:r>
        <w:rPr>
          <w:rFonts w:hint="eastAsia" w:asciiTheme="minorEastAsia" w:hAnsiTheme="minorEastAsia" w:eastAsiaTheme="minorEastAsia"/>
          <w:b/>
          <w:sz w:val="24"/>
        </w:rPr>
        <w:t>（张灵辉）</w:t>
      </w:r>
    </w:p>
    <w:p>
      <w:pPr>
        <w:pStyle w:val="5"/>
        <w:tabs>
          <w:tab w:val="left" w:pos="2296"/>
        </w:tabs>
        <w:spacing w:after="0"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课程简介：社会学</w:t>
      </w:r>
      <w:r>
        <w:rPr>
          <w:rFonts w:asciiTheme="minorEastAsia" w:hAnsiTheme="minorEastAsia" w:eastAsiaTheme="minorEastAsia"/>
          <w:sz w:val="24"/>
        </w:rPr>
        <w:t>是关于社会良性运行和协调发展的条件和机制的综合性具体社会科学。首先，社会学是一门具体的社会科学。它主要研究社会良性运行和协调发展的条件和机制的特殊规律，从社会运行的特殊角度研究社会</w:t>
      </w:r>
      <w:r>
        <w:rPr>
          <w:rFonts w:hint="eastAsia" w:asciiTheme="minorEastAsia" w:hAnsiTheme="minorEastAsia" w:eastAsiaTheme="minorEastAsia"/>
          <w:sz w:val="24"/>
        </w:rPr>
        <w:t>。</w:t>
      </w:r>
      <w:r>
        <w:rPr>
          <w:rFonts w:asciiTheme="minorEastAsia" w:hAnsiTheme="minorEastAsia" w:eastAsiaTheme="minorEastAsia"/>
          <w:sz w:val="24"/>
        </w:rPr>
        <w:t>其次，社会学是一门综合性的社会科学。它研究社会整体，整体与其各个组成部分，以及各个部分、各个层次之间的关系</w:t>
      </w:r>
      <w:r>
        <w:rPr>
          <w:rFonts w:hint="eastAsia" w:asciiTheme="minorEastAsia" w:hAnsiTheme="minorEastAsia" w:eastAsiaTheme="minorEastAsia"/>
          <w:sz w:val="24"/>
        </w:rPr>
        <w:t>。</w:t>
      </w:r>
      <w:r>
        <w:rPr>
          <w:rFonts w:asciiTheme="minorEastAsia" w:hAnsiTheme="minorEastAsia" w:eastAsiaTheme="minorEastAsia"/>
          <w:sz w:val="24"/>
        </w:rPr>
        <w:t>社会学在研究社会和社会运行时，并不限于某一特定方面，而是综合地观察和研究，</w:t>
      </w:r>
      <w:r>
        <w:rPr>
          <w:rFonts w:hint="eastAsia" w:asciiTheme="minorEastAsia" w:hAnsiTheme="minorEastAsia" w:eastAsiaTheme="minorEastAsia"/>
          <w:sz w:val="24"/>
        </w:rPr>
        <w:t>培养学生的</w:t>
      </w:r>
      <w:r>
        <w:rPr>
          <w:rFonts w:asciiTheme="minorEastAsia" w:hAnsiTheme="minorEastAsia" w:eastAsiaTheme="minorEastAsia"/>
          <w:sz w:val="24"/>
        </w:rPr>
        <w:t>“社会学眼光”。</w:t>
      </w:r>
    </w:p>
    <w:p>
      <w:pPr>
        <w:spacing w:line="360" w:lineRule="auto"/>
        <w:ind w:firstLine="361" w:firstLineChars="150"/>
        <w:rPr>
          <w:rFonts w:asciiTheme="minorEastAsia" w:hAnsiTheme="minorEastAsia" w:eastAsiaTheme="minorEastAsia"/>
          <w:b/>
          <w:color w:val="000000"/>
          <w:sz w:val="24"/>
        </w:rPr>
      </w:pPr>
      <w:r>
        <w:rPr>
          <w:rFonts w:hint="eastAsia" w:asciiTheme="minorEastAsia" w:hAnsiTheme="minorEastAsia" w:eastAsiaTheme="minorEastAsia"/>
          <w:b/>
          <w:bCs/>
          <w:color w:val="000000"/>
          <w:sz w:val="24"/>
        </w:rPr>
        <w:t>4</w:t>
      </w:r>
      <w:r>
        <w:rPr>
          <w:rFonts w:hint="eastAsia" w:asciiTheme="minorEastAsia" w:hAnsiTheme="minorEastAsia" w:eastAsiaTheme="minorEastAsia"/>
          <w:color w:val="000000"/>
          <w:sz w:val="24"/>
        </w:rPr>
        <w:t>.</w:t>
      </w:r>
      <w:r>
        <w:rPr>
          <w:rFonts w:hint="eastAsia" w:asciiTheme="minorEastAsia" w:hAnsiTheme="minorEastAsia" w:eastAsiaTheme="minorEastAsia"/>
          <w:b/>
          <w:color w:val="000000"/>
          <w:sz w:val="24"/>
        </w:rPr>
        <w:t>课程名称：古典名篇选读（仲冬梅）</w:t>
      </w:r>
    </w:p>
    <w:p>
      <w:pPr>
        <w:spacing w:line="360" w:lineRule="auto"/>
        <w:ind w:firstLine="360" w:firstLineChars="15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课程简介：诗歌本身是中国古典文学最精华的部分，陶渊明是中国文学史上最伟大的诗人之一。陶渊明的诗歌，不仅是中国古典田园诗歌的开创者，更以其生命和诗歌的完美合一阐释了中国古典时代，读书人的生命价值与意义。他的作品，是伟大的诗歌，同时也是文化的表现手段。因此，细读陶诗，相对全面深入地了解作品，了解诗人，是了解传统文化的最佳渠道之一。</w:t>
      </w:r>
    </w:p>
    <w:p>
      <w:pPr>
        <w:spacing w:line="360" w:lineRule="auto"/>
        <w:ind w:firstLine="482" w:firstLineChars="200"/>
        <w:rPr>
          <w:rFonts w:asciiTheme="minorEastAsia" w:hAnsiTheme="minorEastAsia" w:eastAsiaTheme="minorEastAsia"/>
          <w:b/>
          <w:color w:val="FF0000"/>
          <w:sz w:val="24"/>
          <w:highlight w:val="none"/>
        </w:rPr>
      </w:pPr>
      <w:r>
        <w:rPr>
          <w:rFonts w:hint="eastAsia" w:asciiTheme="minorEastAsia" w:hAnsiTheme="minorEastAsia" w:eastAsiaTheme="minorEastAsia"/>
          <w:b/>
          <w:sz w:val="24"/>
          <w:highlight w:val="none"/>
          <w:lang w:val="en-US" w:eastAsia="zh-CN"/>
        </w:rPr>
        <w:t>5</w:t>
      </w:r>
      <w:r>
        <w:rPr>
          <w:rFonts w:hint="eastAsia" w:asciiTheme="minorEastAsia" w:hAnsiTheme="minorEastAsia" w:eastAsiaTheme="minorEastAsia"/>
          <w:b/>
          <w:sz w:val="24"/>
          <w:highlight w:val="none"/>
        </w:rPr>
        <w:t>.课程名称：</w:t>
      </w:r>
      <w:r>
        <w:rPr>
          <w:rFonts w:hint="eastAsia" w:asciiTheme="minorEastAsia" w:hAnsiTheme="minorEastAsia" w:eastAsiaTheme="minorEastAsia"/>
          <w:b/>
          <w:sz w:val="24"/>
          <w:highlight w:val="none"/>
          <w:lang w:eastAsia="zh-CN"/>
        </w:rPr>
        <w:t>中国民俗信仰</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eastAsia="zh-CN"/>
        </w:rPr>
        <w:t>刘帅东</w:t>
      </w:r>
      <w:r>
        <w:rPr>
          <w:rFonts w:hint="eastAsia" w:asciiTheme="minorEastAsia" w:hAnsiTheme="minorEastAsia" w:eastAsiaTheme="minorEastAsia"/>
          <w:b/>
          <w:sz w:val="24"/>
          <w:highlight w:val="none"/>
        </w:rPr>
        <w:t>）</w:t>
      </w:r>
    </w:p>
    <w:p>
      <w:pPr>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课程简介：</w:t>
      </w:r>
      <w:r>
        <w:rPr>
          <w:rFonts w:hint="eastAsia" w:asciiTheme="minorEastAsia" w:hAnsiTheme="minorEastAsia" w:eastAsiaTheme="minorEastAsia"/>
          <w:sz w:val="24"/>
          <w:highlight w:val="none"/>
        </w:rPr>
        <w:t>《中国民俗信仰》，通过对日常生活中衣食住行、婚丧嫁娶、迎来送往、崇拜禁忌等活动，揭示中国民间传统文化中所蕴含的和平团结、奋发向上、生生不息、敬畏自然等民俗信仰内容。</w:t>
      </w:r>
    </w:p>
    <w:p>
      <w:pPr>
        <w:spacing w:line="360" w:lineRule="auto"/>
        <w:ind w:firstLine="482" w:firstLineChars="200"/>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6.课程名称：中国文化概论（安华涛）</w:t>
      </w:r>
    </w:p>
    <w:p>
      <w:pPr>
        <w:spacing w:line="360"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课程简介：本课程引导学生摆脱黄河为中国文化摇篮的观念，重新审视百花齐放的文化格局，探讨大一统思想背后的社会历史现实与理论的提升。第一部分主要探讨中国文化的形成与基本特点，重点是经济、文化地理对中国文化的决定性作用、经济类型与中国历史的演进、从夏商周到秦汉的漫长历史进程、中国文化主干的基本定型等关键性问题。本课程</w:t>
      </w:r>
      <w:r>
        <w:rPr>
          <w:rFonts w:cs="宋体" w:asciiTheme="minorEastAsia" w:hAnsiTheme="minorEastAsia" w:eastAsiaTheme="minorEastAsia"/>
          <w:color w:val="000000"/>
          <w:kern w:val="0"/>
          <w:sz w:val="24"/>
        </w:rPr>
        <w:t>第二部分是中国文化专题研究，主要包括玉器、葬礼、茶叶等等。</w:t>
      </w:r>
      <w:r>
        <w:rPr>
          <w:rFonts w:hint="eastAsia" w:cs="宋体" w:asciiTheme="minorEastAsia" w:hAnsiTheme="minorEastAsia" w:eastAsiaTheme="minorEastAsia"/>
          <w:color w:val="000000"/>
          <w:kern w:val="0"/>
          <w:sz w:val="24"/>
        </w:rPr>
        <w:t>通过本课程的学习，学生掌握比较丰富的中国古代文化知识，特别是有关政治制度、经济发展、学术思想、国家民族等方面的知识，更好地理解中国古代文化；初步把握中国文化的基本特征和精神实质，增强自信心和自豪感。</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 xml:space="preserve">课程名称：广告创作与赏析（张睿） </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课程简介：广告已成为现代社会不可缺少的一部分，本课程以培养学生的广告创作能力、提高赏析水平为教学目标，在内容上主要是通过对具有代表性广告作品的欣赏和分析，让学生掌握广告创作中基本知识、理论、方法，在讲授过程中着重广告的创意和视觉表现能力的培养。通过学习，让学生能了解广告在现代社会中的角色，提高学生的广告审美和赏析能力，能独立解析广告作品，同时具备一定的广告创作能力，能完成广告作品的创作。</w:t>
      </w:r>
    </w:p>
    <w:p>
      <w:pPr>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sz w:val="24"/>
        </w:rPr>
        <w:t>8.课</w:t>
      </w:r>
      <w:r>
        <w:rPr>
          <w:rFonts w:hint="eastAsia" w:asciiTheme="minorEastAsia" w:hAnsiTheme="minorEastAsia" w:eastAsiaTheme="minorEastAsia"/>
          <w:b/>
          <w:color w:val="000000"/>
          <w:sz w:val="24"/>
        </w:rPr>
        <w:t>程名称：古典名篇选读（孙海兰）</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课程简介：本课程内容为《诗经》、《楚辞》导读。《诗经》与《楚辞》并称风骚，分别开创了中国文学现实主义与浪漫主义的源头。本课程在熟悉与理解文本的基础上，拟从文学史、文化史、艺术史等多重维度，深度解读《诗经》与《楚辞》的文学史价值与文化史价值。</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9.课程名称：电影</w:t>
      </w:r>
      <w:r>
        <w:rPr>
          <w:rFonts w:hint="eastAsia" w:asciiTheme="minorEastAsia" w:hAnsiTheme="minorEastAsia" w:eastAsiaTheme="minorEastAsia"/>
          <w:b/>
          <w:sz w:val="24"/>
          <w:lang w:eastAsia="zh-CN"/>
        </w:rPr>
        <w:t>赏析</w:t>
      </w:r>
      <w:r>
        <w:rPr>
          <w:rFonts w:hint="eastAsia" w:asciiTheme="minorEastAsia" w:hAnsiTheme="minorEastAsia" w:eastAsiaTheme="minorEastAsia"/>
          <w:b/>
          <w:sz w:val="24"/>
        </w:rPr>
        <w:t>（董楠楠）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课程简介：电影作为一种特定的艺术传播媒体，存在着多元的解读方式，并广泛影响青年群体生活的艺术形式，已经成为现代社会不可缺少的一部分。本课程精选具有代表性的经典影片，以专业的角度用通俗易懂的表述方式分析经典电影的艺术技巧、艺术思想和文化内涵，以生动地视听语言多角度、多侧面地展示电影艺术的独特魅力，侧重于培养学生对中外优秀电影作品赏析与情感的体验能力，以期达到“启迪心智、慧及心灵”，提高学生审美鉴赏能力和理性思辨能力，增强学生人文素养的教学目标。</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 xml:space="preserve"> 课程名称：</w:t>
      </w:r>
      <w:r>
        <w:rPr>
          <w:rFonts w:hint="eastAsia" w:asciiTheme="minorEastAsia" w:hAnsiTheme="minorEastAsia" w:eastAsiaTheme="minorEastAsia"/>
          <w:b/>
          <w:sz w:val="24"/>
        </w:rPr>
        <w:t>唐诗导读</w:t>
      </w:r>
      <w:r>
        <w:rPr>
          <w:rFonts w:asciiTheme="minorEastAsia" w:hAnsiTheme="minorEastAsia" w:eastAsiaTheme="minorEastAsia"/>
          <w:b/>
          <w:sz w:val="24"/>
        </w:rPr>
        <w:t>（</w:t>
      </w:r>
      <w:r>
        <w:rPr>
          <w:rFonts w:hint="eastAsia" w:asciiTheme="minorEastAsia" w:hAnsiTheme="minorEastAsia" w:eastAsiaTheme="minorEastAsia"/>
          <w:b/>
          <w:sz w:val="24"/>
        </w:rPr>
        <w:t>严孟春</w:t>
      </w:r>
      <w:r>
        <w:rPr>
          <w:rFonts w:asciiTheme="minorEastAsia" w:hAnsiTheme="minorEastAsia" w:eastAsiaTheme="minorEastAsia"/>
          <w:b/>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课程简介：</w:t>
      </w:r>
      <w:r>
        <w:rPr>
          <w:rFonts w:hint="eastAsia" w:asciiTheme="minorEastAsia" w:hAnsiTheme="minorEastAsia" w:eastAsiaTheme="minorEastAsia"/>
          <w:sz w:val="24"/>
        </w:rPr>
        <w:t>“唐诗导读”课是一门兼具人文性质和文化修养性质的重要课程，该课程主要面向全校（除中国语言文学类）各专业开设，旨在提高学生文化素质修养、扩大学生视野。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唐代是中国诗歌发展史的顶峰时期，诗歌内容丰富多样，著名诗人辈出，留下无数传诵千古的名篇、名句。学习唐代诗歌对于提升学生文化素质和修养具有重要意义。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该课程主要分为初唐、盛唐、中唐、晚唐四个部分，选取各个时期最具代表性的诗人及其诗歌进行讲授，将阅读、朗诵、鉴赏融为一体。</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11.课程名称：媒介素养（孙葳）</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课程简介：课程以“媒介素养”理论作为基本出发点，从受众、效果、产业、内容等几个方面入手，通过对网络游戏、网络小说、娱乐新闻、新媒体广告等具体案例的研究，帮助学生在当下过度饱和的信息海洋中建立起合理的知识结构体系，厘清现实世界与媒介塑造的世界之间的边界，有效抵御媒介带来的“自动化操作”，提高大学生媒介素养的水平，帮助学生批建立批判省思的理性媒体观。</w:t>
      </w:r>
    </w:p>
    <w:p>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12.课程名称：编辑九力（高光辉）</w:t>
      </w:r>
    </w:p>
    <w:p>
      <w:pPr>
        <w:spacing w:line="360" w:lineRule="auto"/>
        <w:ind w:firstLine="480" w:firstLineChars="200"/>
        <w:rPr>
          <w:rFonts w:asciiTheme="minorEastAsia" w:hAnsiTheme="minorEastAsia" w:eastAsiaTheme="minorEastAsia"/>
          <w:b/>
          <w:sz w:val="24"/>
        </w:rPr>
      </w:pPr>
      <w:r>
        <w:rPr>
          <w:rFonts w:hint="eastAsia" w:asciiTheme="minorEastAsia" w:hAnsiTheme="minorEastAsia" w:eastAsiaTheme="minorEastAsia"/>
          <w:sz w:val="24"/>
        </w:rPr>
        <w:t>课程简介：未来十年职场最紧缺什么样的人才？职场上加薪最快、拿钱最多的人才手握何种神器？2018年最新调查显示，是自己会写文案文稿的人。文案文稿写作能力无法速成。其养成关键在于提升思想力、文字力等九种能力（统称编辑力）。本课程从报纸、期刊、图书、广电、新媒体编辑实务切入，讲授编辑力的养成及实战应用，探讨成功范例，剖析常见错误，练习动脑动手能力。主要内容包括：①王牌的证明：编辑成功范例；②思想力的环节：策划；③三力叠加：执行；④亮出你的判断力：审稿；⑤文字力平台：编辑加工，校对；⑥标题力、视觉力、学习力例谈。本课程讲授的编辑力——不仅仅是就职编辑岗位的人才需要具备，它其实对于所有文职人员来说都至关重要。</w:t>
      </w:r>
    </w:p>
    <w:p>
      <w:pPr>
        <w:spacing w:line="360" w:lineRule="auto"/>
        <w:ind w:firstLine="482" w:firstLineChars="200"/>
        <w:outlineLvl w:val="0"/>
        <w:rPr>
          <w:rFonts w:asciiTheme="minorEastAsia" w:hAnsiTheme="minorEastAsia" w:eastAsiaTheme="minorEastAsia"/>
          <w:b/>
          <w:color w:val="000000"/>
          <w:sz w:val="24"/>
        </w:rPr>
      </w:pPr>
      <w:r>
        <w:rPr>
          <w:rFonts w:hint="eastAsia" w:asciiTheme="minorEastAsia" w:hAnsiTheme="minorEastAsia" w:eastAsiaTheme="minorEastAsia"/>
          <w:b/>
          <w:sz w:val="24"/>
        </w:rPr>
        <w:t>13.课程</w:t>
      </w:r>
      <w:r>
        <w:rPr>
          <w:rFonts w:hint="eastAsia" w:asciiTheme="minorEastAsia" w:hAnsiTheme="minorEastAsia" w:eastAsiaTheme="minorEastAsia"/>
          <w:b/>
          <w:color w:val="000000"/>
          <w:sz w:val="24"/>
        </w:rPr>
        <w:t>名称：中西神话与文学（李安斌）</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课程简介：本课程对古希腊神话与中国神话进行系统考察，以文化阐释为媒介，以中西文化互为参照，讲述神话的本质、神话与文学、神话与原型批评、神话与民族心理、神话诗学等内容。神话是文学作品永恒的题材，它虽然随着人类文明的历史年代的久远而逐渐消失，但它作为生命的韵律却深深潜入人类心灵和人类文化的最深处，化为一种深层的思维背景、文化传统和精神框架，引导着后世一代又一代人。本课程通过大量精选的神话素材，注重挖掘作品中蕴涵的潜意识、幻觉、原型等内容，不但保证了课程的丰富多彩性，而且也具有一定的理论深度，本课程旨在通过中西方神话及异质文化的比较，提高学生审美素养，开拓学生文化视野。</w:t>
      </w:r>
    </w:p>
    <w:p>
      <w:pPr>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14.课程名称：</w:t>
      </w:r>
      <w:r>
        <w:rPr>
          <w:rFonts w:hint="eastAsia" w:asciiTheme="minorEastAsia" w:hAnsiTheme="minorEastAsia" w:eastAsiaTheme="minorEastAsia"/>
          <w:b/>
          <w:sz w:val="24"/>
          <w:highlight w:val="none"/>
          <w:lang w:eastAsia="zh-CN"/>
        </w:rPr>
        <w:t>西方古典文明</w:t>
      </w:r>
      <w:r>
        <w:rPr>
          <w:rFonts w:hint="eastAsia" w:asciiTheme="minorEastAsia" w:hAnsiTheme="minorEastAsia" w:eastAsiaTheme="minorEastAsia"/>
          <w:b/>
          <w:sz w:val="24"/>
          <w:highlight w:val="none"/>
        </w:rPr>
        <w:t>（张芳宁）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Theme="minorEastAsia" w:hAnsiTheme="minorEastAsia" w:eastAsiaTheme="minorEastAsia"/>
          <w:color w:val="000000"/>
          <w:sz w:val="24"/>
          <w:highlight w:val="none"/>
        </w:rPr>
        <w:t>课程简介：</w:t>
      </w:r>
      <w:r>
        <w:rPr>
          <w:rFonts w:hint="eastAsia"/>
          <w:sz w:val="24"/>
          <w:szCs w:val="24"/>
          <w:highlight w:val="none"/>
        </w:rPr>
        <w:t>晚清以降，随着西学大举入华，中华文明的根基受到了强烈挑战，而另一个方面，中国学术界对西方的认识长期限于用“</w:t>
      </w:r>
      <w:r>
        <w:rPr>
          <w:rFonts w:hint="eastAsia"/>
          <w:sz w:val="24"/>
          <w:szCs w:val="24"/>
        </w:rPr>
        <w:t>现代的西方”来看“整个西方”，忽略了西方古典与西方现代的有机关联。因此，只有转回到西方的古典，我们才能够认识西方的现代同时更进一步认识整个西方文明究竟是怎样的，从而了解我们中国文明所面临的挑战究竟是怎么回事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highlight w:val="yellow"/>
        </w:rPr>
      </w:pPr>
      <w:r>
        <w:rPr>
          <w:rFonts w:hint="eastAsia"/>
          <w:sz w:val="24"/>
          <w:szCs w:val="24"/>
        </w:rPr>
        <w:t>由此，本课程的目的在于使学生了解西方古典文明</w:t>
      </w:r>
      <w:r>
        <w:rPr>
          <w:rFonts w:hint="eastAsia"/>
          <w:sz w:val="24"/>
          <w:szCs w:val="24"/>
          <w:lang w:eastAsia="zh-CN"/>
        </w:rPr>
        <w:t>经典</w:t>
      </w:r>
      <w:r>
        <w:rPr>
          <w:rFonts w:hint="eastAsia"/>
          <w:sz w:val="24"/>
          <w:szCs w:val="24"/>
        </w:rPr>
        <w:t>。课程的具体安排以纵-横两个维度展开：首先，纵向梳理古希腊-罗马文明史；同时，对重要文明时期（</w:t>
      </w:r>
      <w:r>
        <w:rPr>
          <w:rFonts w:hint="eastAsia"/>
          <w:sz w:val="24"/>
          <w:szCs w:val="24"/>
          <w:lang w:eastAsia="zh-CN"/>
        </w:rPr>
        <w:t>古</w:t>
      </w:r>
      <w:r>
        <w:rPr>
          <w:rFonts w:hint="eastAsia"/>
          <w:sz w:val="24"/>
          <w:szCs w:val="24"/>
        </w:rPr>
        <w:t>希腊</w:t>
      </w:r>
      <w:r>
        <w:rPr>
          <w:rFonts w:hint="eastAsia"/>
          <w:sz w:val="24"/>
          <w:szCs w:val="24"/>
          <w:lang w:eastAsia="zh-CN"/>
        </w:rPr>
        <w:t>、</w:t>
      </w:r>
      <w:r>
        <w:rPr>
          <w:rFonts w:hint="eastAsia"/>
          <w:sz w:val="24"/>
          <w:szCs w:val="24"/>
        </w:rPr>
        <w:t>罗马共和国及帝国时期）的人文经典作品重点讲读。力图将经典“树木”放到大的文明史脉络的“森林”中去，使学生对经典的阅读建立起内在的“谱系”，</w:t>
      </w:r>
      <w:r>
        <w:rPr>
          <w:sz w:val="24"/>
          <w:szCs w:val="24"/>
        </w:rPr>
        <w:t xml:space="preserve"> </w:t>
      </w:r>
      <w:r>
        <w:rPr>
          <w:rFonts w:hint="eastAsia"/>
          <w:sz w:val="24"/>
          <w:szCs w:val="24"/>
        </w:rPr>
        <w:t>从而真正理解经典、理解文明史。</w:t>
      </w:r>
      <w:r>
        <w:rPr>
          <w:rFonts w:hint="eastAsia"/>
          <w:sz w:val="24"/>
          <w:szCs w:val="24"/>
          <w:lang w:eastAsia="zh-CN"/>
        </w:rPr>
        <w:t>从内在联系上，本课程是对《西方经典绎读》的接续。</w:t>
      </w:r>
    </w:p>
    <w:p>
      <w:pPr>
        <w:spacing w:line="360" w:lineRule="auto"/>
        <w:ind w:firstLine="361" w:firstLineChars="150"/>
        <w:rPr>
          <w:rFonts w:asciiTheme="minorEastAsia" w:hAnsiTheme="minorEastAsia" w:eastAsiaTheme="minorEastAsia"/>
          <w:b/>
          <w:sz w:val="24"/>
        </w:rPr>
      </w:pPr>
      <w:r>
        <w:rPr>
          <w:rFonts w:hint="eastAsia" w:asciiTheme="minorEastAsia" w:hAnsiTheme="minorEastAsia" w:eastAsiaTheme="minorEastAsia"/>
          <w:b/>
          <w:sz w:val="24"/>
        </w:rPr>
        <w:t>15.课程名称：跨文化交际（毕燕娟）</w:t>
      </w:r>
    </w:p>
    <w:p>
      <w:pPr>
        <w:spacing w:line="360" w:lineRule="auto"/>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课程简介：本课程讲授如何在不同语言和文化背景下进行有效交际。有效交际不仅是语言技巧问题，还涉及到许多文化因素。该课程旨在帮助学生解决在跨文化交际中因文化差异而产生的种种问题，并提供在处理相关问题时所需要的基本知识和技巧，使学生避免在跨文化交往中因文化差异而引起的种种误解，以提高跨文化交际的质量。课程主要内容包括跨文化语言交际、跨文化语言对比分析、跨文化语用对比分析、非言语行为及其文化差异、性别差异及其跨性别交际等，在分析具体案例的基础上升华理论，从而实现理论和实践的完美结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b/>
          <w:bCs w:val="0"/>
          <w:sz w:val="24"/>
          <w:szCs w:val="24"/>
        </w:rPr>
      </w:pPr>
      <w:r>
        <w:rPr>
          <w:rFonts w:hint="eastAsia" w:cs="Times New Roman" w:asciiTheme="minorEastAsia" w:hAnsiTheme="minorEastAsia" w:eastAsiaTheme="minorEastAsia"/>
          <w:b/>
          <w:kern w:val="2"/>
          <w:highlight w:val="none"/>
        </w:rPr>
        <w:t>1</w:t>
      </w:r>
      <w:r>
        <w:rPr>
          <w:rFonts w:hint="eastAsia" w:cs="Times New Roman" w:asciiTheme="minorEastAsia" w:hAnsiTheme="minorEastAsia" w:eastAsiaTheme="minorEastAsia"/>
          <w:b/>
          <w:kern w:val="2"/>
          <w:highlight w:val="none"/>
          <w:lang w:val="en-US" w:eastAsia="zh-CN"/>
        </w:rPr>
        <w:t>6</w:t>
      </w:r>
      <w:r>
        <w:rPr>
          <w:rFonts w:hint="eastAsia" w:cs="Times New Roman" w:asciiTheme="minorEastAsia" w:hAnsiTheme="minorEastAsia" w:eastAsiaTheme="minorEastAsia"/>
          <w:b/>
          <w:kern w:val="2"/>
          <w:highlight w:val="none"/>
        </w:rPr>
        <w:t xml:space="preserve">. </w:t>
      </w:r>
      <w:r>
        <w:rPr>
          <w:rFonts w:hint="eastAsia" w:cs="Times New Roman" w:asciiTheme="minorEastAsia" w:hAnsiTheme="minorEastAsia" w:eastAsiaTheme="minorEastAsia"/>
          <w:b/>
          <w:kern w:val="2"/>
          <w:sz w:val="24"/>
          <w:szCs w:val="24"/>
          <w:highlight w:val="none"/>
          <w:lang w:eastAsia="zh-CN"/>
        </w:rPr>
        <w:t>课程名称</w:t>
      </w:r>
      <w:r>
        <w:rPr>
          <w:rFonts w:hint="eastAsia" w:cs="Times New Roman" w:asciiTheme="minorEastAsia" w:hAnsiTheme="minorEastAsia" w:eastAsiaTheme="minorEastAsia"/>
          <w:b/>
          <w:bCs w:val="0"/>
          <w:kern w:val="2"/>
          <w:sz w:val="24"/>
          <w:szCs w:val="24"/>
          <w:highlight w:val="none"/>
          <w:lang w:eastAsia="zh-CN"/>
        </w:rPr>
        <w:t>：《</w:t>
      </w:r>
      <w:r>
        <w:rPr>
          <w:rFonts w:hint="eastAsia"/>
          <w:b/>
          <w:bCs w:val="0"/>
          <w:sz w:val="24"/>
          <w:szCs w:val="24"/>
          <w:highlight w:val="none"/>
        </w:rPr>
        <w:t>西方</w:t>
      </w:r>
      <w:r>
        <w:rPr>
          <w:rFonts w:hint="eastAsia"/>
          <w:b/>
          <w:bCs w:val="0"/>
          <w:sz w:val="24"/>
          <w:szCs w:val="24"/>
        </w:rPr>
        <w:t>经典绎读</w:t>
      </w:r>
      <w:r>
        <w:rPr>
          <w:rFonts w:hint="eastAsia" w:cs="Times New Roman" w:asciiTheme="minorEastAsia" w:hAnsiTheme="minorEastAsia" w:eastAsiaTheme="minorEastAsia"/>
          <w:b/>
          <w:bCs w:val="0"/>
          <w:kern w:val="2"/>
          <w:sz w:val="24"/>
          <w:szCs w:val="24"/>
          <w:highlight w:val="none"/>
          <w:lang w:eastAsia="zh-CN"/>
        </w:rPr>
        <w:t>》</w:t>
      </w:r>
      <w:r>
        <w:rPr>
          <w:rFonts w:hint="eastAsia"/>
          <w:b/>
          <w:bCs w:val="0"/>
          <w:sz w:val="24"/>
          <w:szCs w:val="24"/>
        </w:rPr>
        <w:t>（苏岩）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4"/>
        </w:rPr>
      </w:pPr>
      <w:r>
        <w:rPr>
          <w:rFonts w:hint="eastAsia"/>
          <w:sz w:val="24"/>
          <w:szCs w:val="24"/>
        </w:rPr>
        <w:t>课程简介：现代中国正是近代东、西方文化剧烈碰撞的产物，而今天任何有关现代中国或者中国现代性/后现代性问题的思考背后必然都会伫立着一个西方的形象。西学或者说西方文明已经成为当代中国文化意识的重要组成部分。从这个意义上来说，深入、全面地了解西方文明关系到每一个中国人在全球化时代的自我理解与自我认同。本课程通过阅读马基雅维利以来的经典文本，帮助学生深入地理解现代西方文明的源流，进而为我们更好地理解我们自己的问题奠定基础。本课程大致分为两个大的部分：首先从对马基雅维利、霍布斯和康德等人的阅读来理解现代西方宪制和国家概念的形成，进而在这个社会性、政治性的框架下理解现代的“个体”观念；其次在上述理解的基础上研读莎士比亚、歌德和卡夫卡等人的文学作品，深入揭示他们作品中所展现的现代困境。</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sz w:val="24"/>
        </w:rPr>
        <w:t>17.</w:t>
      </w:r>
      <w:r>
        <w:rPr>
          <w:rFonts w:hint="eastAsia" w:asciiTheme="minorEastAsia" w:hAnsiTheme="minorEastAsia" w:eastAsiaTheme="minorEastAsia"/>
          <w:b/>
          <w:bCs/>
          <w:sz w:val="24"/>
        </w:rPr>
        <w:t xml:space="preserve"> 课程名称：广告创意（吴君静）</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课程简介：《广告创意》是广告学科体系中最为核心的课程，也是广告学专业的一门主干课。通过该课程可以使学生全面、系统了解广告创意的理论和原则，认识广告创意的特点和规律，掌握广告创意的主要方法和相关技能。开设本课程的指导思想是，借鉴广告业发达国家的相关理论和成就，立足于我国广告业实际，着眼于广告发展趋势，讲授广告创意与表现的原理、规律、方法和技能，培养学生的创新性才能和在实践中操作的能力。本课程还涉及大量广告学知识以及与广告学交叉的其他学科知识，学生要善于将前面所学专业知识运用到本课程的学习中，互为所用，互相促进，以达到本课程的教学目的。</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18.课程名称：《西方经典绎读》 （章颜）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lang w:val="en-US" w:eastAsia="zh-CN"/>
        </w:rPr>
        <w:t>课程简介：外国文学是中国文学以外的世界各国文学。通过学习本课程，使学生了解欧美文学，即从古代希腊到20世纪欧美的文学状貌，包括古代文学、中世纪文学、文艺复兴文学、古典主义文学、启蒙主义文学、浪漫主义文学、批判现实主义文学、自然主义文学现象。通过引导学习，结合不同时期的社会背景、文化背景和哲学基础，使学生了解各阶段文学创作总体的思想特征和艺术特征，认识欧美文学的发展走向，提高解读经典文本的能力和文学素养。</w:t>
      </w:r>
    </w:p>
    <w:p>
      <w:pPr>
        <w:spacing w:line="360" w:lineRule="auto"/>
        <w:ind w:firstLine="482" w:firstLineChars="200"/>
        <w:rPr>
          <w:rFonts w:hint="eastAsia" w:eastAsia="宋体" w:asciiTheme="minorEastAsia" w:hAnsiTheme="minorEastAsia"/>
          <w:sz w:val="24"/>
          <w:highlight w:val="yellow"/>
          <w:lang w:val="en-US" w:eastAsia="zh-CN"/>
        </w:rPr>
      </w:pPr>
      <w:r>
        <w:rPr>
          <w:rFonts w:hint="eastAsia" w:asciiTheme="minorEastAsia" w:hAnsiTheme="minorEastAsia" w:eastAsiaTheme="minorEastAsia"/>
          <w:b/>
          <w:sz w:val="24"/>
          <w:lang w:val="en-US" w:eastAsia="zh-CN"/>
        </w:rPr>
        <w:t>19</w:t>
      </w:r>
      <w:r>
        <w:rPr>
          <w:rFonts w:hint="eastAsia" w:asciiTheme="minorEastAsia" w:hAnsiTheme="minorEastAsia" w:eastAsiaTheme="minorEastAsia"/>
          <w:b/>
          <w:sz w:val="24"/>
        </w:rPr>
        <w:t>.课程名称：</w:t>
      </w:r>
      <w:r>
        <w:rPr>
          <w:rFonts w:hint="eastAsia"/>
          <w:b/>
          <w:bCs/>
          <w:sz w:val="24"/>
          <w:szCs w:val="24"/>
        </w:rPr>
        <w:t>当代大众文化</w:t>
      </w:r>
      <w:r>
        <w:rPr>
          <w:rFonts w:hint="eastAsia"/>
          <w:b/>
          <w:bCs/>
          <w:sz w:val="24"/>
          <w:szCs w:val="24"/>
          <w:lang w:val="en-US" w:eastAsia="zh-CN"/>
        </w:rPr>
        <w:t xml:space="preserve"> (蒋磊）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kern w:val="2"/>
          <w:highlight w:val="yellow"/>
        </w:rPr>
      </w:pPr>
      <w:r>
        <w:rPr>
          <w:rFonts w:hint="eastAsia"/>
          <w:sz w:val="24"/>
          <w:szCs w:val="24"/>
        </w:rPr>
        <w:t>课程简介：本课程从跨学科的理论视角，对当代大众文化现象进行解读，通过丰富的案例分析，引导学生掌握一定的人文社会科学前沿理论，培养其关注大众文化现象、介入社会现实的能力。本课程主要引入西方马克思主义文化理论，结合中国具体语境进行讲解，主要包括：媒介文化、视觉文化、身体研究、身份认同、青年亚文化、都市文化、消费文化等部分，讨论对象涉及畅销小说、热门影视剧、网络文化、流行歌曲、手机、旅游、广告、动漫、性别身份、嬉皮士、御宅族、都市咖啡馆、城市广场、购物中心、流行病等当代社会生活领域的各类文化事物或热点话题。</w:t>
      </w:r>
    </w:p>
    <w:p>
      <w:pPr>
        <w:spacing w:line="460" w:lineRule="exact"/>
        <w:ind w:firstLine="562" w:firstLineChars="200"/>
        <w:rPr>
          <w:rFonts w:hint="eastAsia" w:ascii="仿宋_GB2312" w:hAnsi="宋体" w:eastAsia="仿宋_GB2312" w:cs="宋体"/>
          <w:b/>
          <w:kern w:val="0"/>
          <w:sz w:val="28"/>
          <w:szCs w:val="28"/>
        </w:rPr>
      </w:pPr>
      <w:r>
        <w:rPr>
          <w:rFonts w:hint="eastAsia" w:ascii="仿宋_GB2312" w:hAnsi="宋体" w:eastAsia="仿宋_GB2312"/>
          <w:b/>
          <w:sz w:val="28"/>
          <w:szCs w:val="28"/>
          <w:lang w:val="en-US" w:eastAsia="zh-CN"/>
        </w:rPr>
        <w:t>20.</w:t>
      </w:r>
      <w:r>
        <w:rPr>
          <w:rFonts w:hint="eastAsia" w:ascii="仿宋_GB2312" w:hAnsi="宋体" w:eastAsia="仿宋_GB2312"/>
          <w:b/>
          <w:sz w:val="28"/>
          <w:szCs w:val="28"/>
        </w:rPr>
        <w:t>课程名称：李白导读（海滨）</w:t>
      </w:r>
    </w:p>
    <w:p>
      <w:pPr>
        <w:spacing w:line="4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课程简介：本课程将从李白的七种身份、李白的人生地图、李白自由精神的三个维度等问题入手为同学打开重新发现和认识李白的新的视角，从历史文化角度、人性角度、文学角度解读李白的作品，探究李白为什么伟大、李白为什么傲岸不屈，挖掘李白对于现代人生的启示。</w:t>
      </w:r>
    </w:p>
    <w:p>
      <w:pPr>
        <w:spacing w:line="4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lang w:val="en-US" w:eastAsia="zh-CN"/>
        </w:rPr>
        <w:t>21</w:t>
      </w:r>
      <w:r>
        <w:rPr>
          <w:rFonts w:hint="eastAsia" w:ascii="仿宋_GB2312" w:hAnsi="宋体" w:eastAsia="仿宋_GB2312"/>
          <w:b/>
          <w:sz w:val="28"/>
          <w:szCs w:val="28"/>
        </w:rPr>
        <w:t>、课程名称：苏轼导读（海滨）</w:t>
      </w:r>
    </w:p>
    <w:p>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课程简介：本课程将从苏轼研究的三个重大问题入手，探讨“人生到处知何似，应似飞鸿踏雪泥”所蕴含的人生不确定性，“回首向来萧瑟处，也无风雨也无晴”所蕴含的得失祸福相对性，“但愿人长久，千里共婵娟”所蕴含的以人为本的绝对性，深入探讨苏轼的人格魅力所在，并介绍苏轼在海南实现的人生超越。</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22、课程名称：《古典名篇选读》（张平）</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color w:val="000000"/>
          <w:sz w:val="24"/>
          <w:szCs w:val="24"/>
          <w:lang w:eastAsia="zh-CN"/>
        </w:rPr>
        <w:t>课程简介：</w:t>
      </w:r>
      <w:r>
        <w:rPr>
          <w:rFonts w:hint="eastAsia" w:ascii="宋体" w:hAnsi="宋体"/>
          <w:color w:val="000000"/>
          <w:sz w:val="24"/>
          <w:szCs w:val="24"/>
        </w:rPr>
        <w:t>本课程以中国古典文学名家名篇为依归，以“主题研究”为架构，</w:t>
      </w:r>
      <w:r>
        <w:rPr>
          <w:rFonts w:hint="eastAsia"/>
          <w:sz w:val="24"/>
          <w:szCs w:val="24"/>
        </w:rPr>
        <w:t>力图利用24学时的授课时限，分别就</w:t>
      </w:r>
      <w:r>
        <w:rPr>
          <w:rFonts w:hint="eastAsia" w:ascii="宋体" w:hAnsi="宋体"/>
          <w:color w:val="000000"/>
          <w:sz w:val="24"/>
          <w:szCs w:val="24"/>
        </w:rPr>
        <w:t>中国古典文学中的情爱、隐逸、悲秋、乡愁、禅、海洋、忧患与休闲八大主题展开</w:t>
      </w:r>
      <w:r>
        <w:rPr>
          <w:rFonts w:hint="eastAsia"/>
          <w:sz w:val="24"/>
          <w:szCs w:val="24"/>
        </w:rPr>
        <w:t>切实解悟</w:t>
      </w:r>
      <w:r>
        <w:rPr>
          <w:rFonts w:hint="eastAsia" w:ascii="宋体" w:hAnsi="宋体"/>
          <w:color w:val="000000"/>
          <w:sz w:val="24"/>
          <w:szCs w:val="24"/>
        </w:rPr>
        <w:t>，意在打通古典与现代、沟通中国与西方，</w:t>
      </w:r>
      <w:r>
        <w:rPr>
          <w:rFonts w:hint="eastAsia"/>
          <w:sz w:val="24"/>
          <w:szCs w:val="24"/>
        </w:rPr>
        <w:t>超越人文与理工，从而拓展学生视野，构建健全人格，熔铸人文情怀。本课程具有如下特色：</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1．注重在中西比较视角下彰显国学自身特质。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2．注重以国学为依托，合理介入现实社会与现实人生，避免隔空喊话。</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3．强调独立思考，鼓励对传统文化中的某些侧面作出质疑甚至否定。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4．不同于“概论”性质的讲座，而是适当强调学生对经典文本的自我解析。</w:t>
      </w:r>
    </w:p>
    <w:p>
      <w:pPr>
        <w:spacing w:line="360" w:lineRule="auto"/>
        <w:ind w:firstLine="482" w:firstLineChars="200"/>
        <w:rPr>
          <w:rFonts w:ascii="宋体" w:hAnsi="宋体"/>
          <w:szCs w:val="21"/>
        </w:rPr>
      </w:pPr>
      <w:r>
        <w:rPr>
          <w:rFonts w:hint="eastAsia" w:asciiTheme="minorEastAsia" w:hAnsiTheme="minorEastAsia" w:eastAsiaTheme="minorEastAsia"/>
          <w:b/>
          <w:sz w:val="24"/>
          <w:lang w:val="en-US" w:eastAsia="zh-CN"/>
        </w:rPr>
        <w:t>23</w:t>
      </w:r>
      <w:r>
        <w:rPr>
          <w:rFonts w:hint="eastAsia" w:asciiTheme="minorEastAsia" w:hAnsiTheme="minorEastAsia" w:eastAsiaTheme="minorEastAsia"/>
          <w:b/>
          <w:sz w:val="24"/>
        </w:rPr>
        <w:t>.</w:t>
      </w:r>
      <w:r>
        <w:rPr>
          <w:rFonts w:asciiTheme="minorEastAsia" w:hAnsiTheme="minorEastAsia" w:eastAsiaTheme="minorEastAsia"/>
          <w:b/>
          <w:sz w:val="24"/>
        </w:rPr>
        <w:t xml:space="preserve"> </w:t>
      </w:r>
      <w:r>
        <w:rPr>
          <w:rFonts w:hint="eastAsia" w:asciiTheme="minorEastAsia" w:hAnsiTheme="minorEastAsia" w:eastAsiaTheme="minorEastAsia"/>
          <w:b/>
          <w:sz w:val="24"/>
          <w:lang w:eastAsia="zh-CN"/>
        </w:rPr>
        <w:t>课程名称：《艺术概论》</w:t>
      </w:r>
      <w:r>
        <w:rPr>
          <w:rFonts w:hint="eastAsia" w:asciiTheme="minorEastAsia" w:hAnsiTheme="minorEastAsia" w:eastAsiaTheme="minorEastAsia"/>
          <w:b/>
          <w:sz w:val="24"/>
          <w:lang w:val="en-US" w:eastAsia="zh-CN"/>
        </w:rPr>
        <w:t xml:space="preserve"> </w:t>
      </w:r>
      <w:r>
        <w:rPr>
          <w:rFonts w:hint="eastAsia" w:asciiTheme="minorEastAsia" w:hAnsiTheme="minorEastAsia" w:eastAsiaTheme="minorEastAsia"/>
          <w:b/>
          <w:sz w:val="24"/>
          <w:lang w:eastAsia="zh-CN"/>
        </w:rPr>
        <w:t>（刘丹）</w:t>
      </w:r>
    </w:p>
    <w:p>
      <w:pPr>
        <w:pStyle w:val="9"/>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rPr>
      </w:pPr>
      <w:r>
        <w:rPr>
          <w:rFonts w:hint="eastAsia" w:ascii="宋体" w:hAnsi="宋体"/>
          <w:sz w:val="24"/>
          <w:szCs w:val="24"/>
          <w:lang w:eastAsia="zh-CN"/>
        </w:rPr>
        <w:t>课程简介：</w:t>
      </w:r>
      <w:r>
        <w:rPr>
          <w:rFonts w:hint="eastAsia" w:ascii="宋体" w:hAnsi="宋体"/>
          <w:sz w:val="24"/>
          <w:szCs w:val="24"/>
        </w:rPr>
        <w:t>《艺术概论》课程概括讲述艺术的基础理论，阐述艺术实践和艺术理论之间的基本问题。通过对此课程的学习, 使学生从理论上认识艺术的本质，特性及有关规律，从宏观上把握美的特点和规律。培养学生的审美和艺术觉悟，在生活中的方方面面善于发现美、欣赏美，激发学生对艺术的兴趣，乃至结合自身专业的综合创新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宋体" w:eastAsia="仿宋_GB2312"/>
          <w:sz w:val="24"/>
          <w:szCs w:val="24"/>
          <w:lang w:val="en-US" w:eastAsia="zh-CN"/>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35" w:firstLineChars="98"/>
        <w:textAlignment w:val="auto"/>
        <w:rPr>
          <w:rFonts w:hint="eastAsia" w:cs="Times New Roman" w:asciiTheme="minorEastAsia" w:hAnsiTheme="minorEastAsia" w:eastAsiaTheme="minorEastAsia"/>
          <w:kern w:val="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35" w:firstLineChars="98"/>
        <w:textAlignment w:val="auto"/>
        <w:rPr>
          <w:rFonts w:hint="eastAsia" w:cs="Times New Roman" w:asciiTheme="minorEastAsia" w:hAnsiTheme="minorEastAsia" w:eastAsiaTheme="minorEastAsia"/>
          <w:kern w:val="2"/>
        </w:rPr>
      </w:pPr>
    </w:p>
    <w:p>
      <w:pPr>
        <w:keepNext w:val="0"/>
        <w:keepLines w:val="0"/>
        <w:pageBreakBefore w:val="0"/>
        <w:kinsoku/>
        <w:wordWrap/>
        <w:overflowPunct/>
        <w:topLinePunct w:val="0"/>
        <w:autoSpaceDE/>
        <w:autoSpaceDN/>
        <w:bidi w:val="0"/>
        <w:adjustRightInd/>
        <w:snapToGrid/>
        <w:spacing w:line="360" w:lineRule="auto"/>
        <w:ind w:firstLine="200"/>
        <w:textAlignment w:val="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E620C"/>
    <w:rsid w:val="001F4D8B"/>
    <w:rsid w:val="00283DE2"/>
    <w:rsid w:val="00AB662D"/>
    <w:rsid w:val="00ED7796"/>
    <w:rsid w:val="00F92A31"/>
    <w:rsid w:val="04063024"/>
    <w:rsid w:val="06095F89"/>
    <w:rsid w:val="0B7928D8"/>
    <w:rsid w:val="0C6E035C"/>
    <w:rsid w:val="0F052880"/>
    <w:rsid w:val="103C0A55"/>
    <w:rsid w:val="103D790D"/>
    <w:rsid w:val="1212014F"/>
    <w:rsid w:val="14EB2ECE"/>
    <w:rsid w:val="179C5C6F"/>
    <w:rsid w:val="19785069"/>
    <w:rsid w:val="1A3401EC"/>
    <w:rsid w:val="1E9115D5"/>
    <w:rsid w:val="232651CC"/>
    <w:rsid w:val="23E524C2"/>
    <w:rsid w:val="25C105CE"/>
    <w:rsid w:val="29CB2955"/>
    <w:rsid w:val="2C034D35"/>
    <w:rsid w:val="2C305DFA"/>
    <w:rsid w:val="2F4D7200"/>
    <w:rsid w:val="300203B5"/>
    <w:rsid w:val="301D2217"/>
    <w:rsid w:val="329349DF"/>
    <w:rsid w:val="33593C84"/>
    <w:rsid w:val="350B14D0"/>
    <w:rsid w:val="353147BB"/>
    <w:rsid w:val="38533B0F"/>
    <w:rsid w:val="3C2E0D61"/>
    <w:rsid w:val="3F9466A3"/>
    <w:rsid w:val="41217C4B"/>
    <w:rsid w:val="419759FD"/>
    <w:rsid w:val="4CD60521"/>
    <w:rsid w:val="4D7E2475"/>
    <w:rsid w:val="5155423C"/>
    <w:rsid w:val="51AF2CD4"/>
    <w:rsid w:val="54AE620C"/>
    <w:rsid w:val="56F410DF"/>
    <w:rsid w:val="578363A2"/>
    <w:rsid w:val="579D660B"/>
    <w:rsid w:val="57D2774B"/>
    <w:rsid w:val="57D8324B"/>
    <w:rsid w:val="58025FDC"/>
    <w:rsid w:val="586009A6"/>
    <w:rsid w:val="58BF1299"/>
    <w:rsid w:val="5AB8745A"/>
    <w:rsid w:val="5C186839"/>
    <w:rsid w:val="5CD5505E"/>
    <w:rsid w:val="5D621FAB"/>
    <w:rsid w:val="5F2A4D66"/>
    <w:rsid w:val="612E7330"/>
    <w:rsid w:val="6418661E"/>
    <w:rsid w:val="64932F85"/>
    <w:rsid w:val="64F426BA"/>
    <w:rsid w:val="65BA5F5C"/>
    <w:rsid w:val="663A3976"/>
    <w:rsid w:val="679B39C3"/>
    <w:rsid w:val="690D51B9"/>
    <w:rsid w:val="69501585"/>
    <w:rsid w:val="6A7A04D5"/>
    <w:rsid w:val="6E57110E"/>
    <w:rsid w:val="71A01522"/>
    <w:rsid w:val="71AE7D61"/>
    <w:rsid w:val="73751C99"/>
    <w:rsid w:val="74847D82"/>
    <w:rsid w:val="749B7910"/>
    <w:rsid w:val="75D7754C"/>
    <w:rsid w:val="761B62EF"/>
    <w:rsid w:val="767C297D"/>
    <w:rsid w:val="79CB487A"/>
    <w:rsid w:val="7ADE12D4"/>
    <w:rsid w:val="7DA9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358" w:firstLineChars="128"/>
    </w:pPr>
    <w:rPr>
      <w:sz w:val="2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semiHidden/>
    <w:unhideWhenUsed/>
    <w:qFormat/>
    <w:uiPriority w:val="99"/>
    <w:pPr>
      <w:spacing w:after="120" w:line="480" w:lineRule="auto"/>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p0"/>
    <w:basedOn w:val="1"/>
    <w:qFormat/>
    <w:uiPriority w:val="0"/>
    <w:pPr>
      <w:widowControl/>
    </w:pPr>
    <w:rPr>
      <w:kern w:val="0"/>
      <w:szCs w:val="21"/>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4863</Words>
  <Characters>373</Characters>
  <Lines>3</Lines>
  <Paragraphs>10</Paragraphs>
  <TotalTime>5</TotalTime>
  <ScaleCrop>false</ScaleCrop>
  <LinksUpToDate>false</LinksUpToDate>
  <CharactersWithSpaces>5226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2019-12-02T02:40:00Z</dcterms:created>
  <dc:creator>Administrator</dc:creator>
  <cp:lastModifiedBy>lenovo</cp:lastModifiedBy>
  <cp:lastPrinted>2020-04-26T00:34:00Z</cp:lastPrinted>
  <dcterms:modified xsi:type="dcterms:W3CDTF">2020-04-26T01:12:21Z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