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sz w:val="32"/>
          <w:szCs w:val="32"/>
          <w:bdr w:val="none" w:color="auto" w:sz="0" w:space="0"/>
        </w:rPr>
        <w:t>《海南省全国大学英语四六级和高等学校英语应用能力考试考务管理工作实施细则》第四十九条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CET4-6和A-B级考试的考生或考试工作人员违规行为的认定与处理参照《国家教育考试违规处理办法》（中华人民共和国教育部第33号令）等有关文件执行。CET4-6级考试并就以下几种违规行为进行强调。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1.考生不正确填涂个人信息，错贴、不贴条形码粘贴条；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2.考生提前翻阅试题册；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3.考生未按要求用笔作答题目，导致无法评卷；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4.考生撕毁、污损试题册或答题卡；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5.考试结束后，考生仍作答试题；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6.在评卷过程中，考生答题卡（答卷）出现在其他考场试卷袋内；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0"/>
          <w:szCs w:val="30"/>
          <w:bdr w:val="none" w:color="auto" w:sz="0" w:space="0"/>
        </w:rPr>
        <w:t>7.考试期间非听力考试时间佩戴耳机。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F54A5"/>
    <w:rsid w:val="697F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2019-05-28T09:50:00Z</dcterms:created>
  <dc:creator>世威</dc:creator>
  <cp:lastModifiedBy>世威</cp:lastModifiedBy>
  <dcterms:modified xsi:type="dcterms:W3CDTF">2019-05-28T09:50:14Z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